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9A" w:rsidRPr="003144AD" w:rsidRDefault="00857EE7" w:rsidP="00D9679A">
      <w:pPr>
        <w:pStyle w:val="1"/>
        <w:tabs>
          <w:tab w:val="left" w:pos="9639"/>
        </w:tabs>
        <w:spacing w:line="360" w:lineRule="auto"/>
        <w:ind w:right="0" w:firstLine="709"/>
        <w:rPr>
          <w:b w:val="0"/>
          <w:sz w:val="28"/>
          <w:szCs w:val="28"/>
        </w:rPr>
      </w:pPr>
      <w:r w:rsidRPr="003144AD">
        <w:rPr>
          <w:color w:val="000000"/>
          <w:sz w:val="28"/>
          <w:szCs w:val="28"/>
          <w:shd w:val="clear" w:color="auto" w:fill="FFFFFF"/>
        </w:rPr>
        <w:t>ВОЗМОЖНОСТИ ОРИГИНАЛЬНОГО ПРЕПАРАТА БИЦИКЛОЛ</w:t>
      </w:r>
      <w:r w:rsidRPr="003144AD">
        <w:rPr>
          <w:color w:val="000000"/>
          <w:sz w:val="28"/>
          <w:szCs w:val="28"/>
          <w:shd w:val="clear" w:color="auto" w:fill="FFFFFF"/>
          <w:vertAlign w:val="superscript"/>
        </w:rPr>
        <w:t xml:space="preserve">® </w:t>
      </w:r>
      <w:r w:rsidRPr="003144AD">
        <w:rPr>
          <w:color w:val="000000"/>
          <w:sz w:val="28"/>
          <w:szCs w:val="28"/>
          <w:shd w:val="clear" w:color="auto" w:fill="FFFFFF"/>
        </w:rPr>
        <w:t>В ЛЕЧЕНИИ ХРОНИЧЕСКОГО ГЕПАТИТА С</w:t>
      </w:r>
      <w:r w:rsidR="008409C8" w:rsidRPr="003144AD">
        <w:rPr>
          <w:color w:val="000000"/>
          <w:sz w:val="28"/>
          <w:szCs w:val="28"/>
        </w:rPr>
        <w:br/>
      </w:r>
      <w:proofErr w:type="spellStart"/>
      <w:r w:rsidR="00EE27AE" w:rsidRPr="003144AD">
        <w:rPr>
          <w:b w:val="0"/>
          <w:sz w:val="28"/>
          <w:szCs w:val="28"/>
        </w:rPr>
        <w:t>Гейвандова</w:t>
      </w:r>
      <w:proofErr w:type="spellEnd"/>
      <w:r w:rsidR="00EE27AE" w:rsidRPr="003144AD">
        <w:rPr>
          <w:b w:val="0"/>
          <w:sz w:val="28"/>
          <w:szCs w:val="28"/>
        </w:rPr>
        <w:t xml:space="preserve"> Н.И.</w:t>
      </w:r>
      <w:r w:rsidR="00E638DB" w:rsidRPr="003144AD">
        <w:rPr>
          <w:b w:val="0"/>
          <w:sz w:val="28"/>
          <w:szCs w:val="28"/>
          <w:vertAlign w:val="superscript"/>
        </w:rPr>
        <w:t>1</w:t>
      </w:r>
      <w:r w:rsidR="00D9679A" w:rsidRPr="003144AD">
        <w:rPr>
          <w:b w:val="0"/>
          <w:sz w:val="28"/>
          <w:szCs w:val="28"/>
        </w:rPr>
        <w:t xml:space="preserve">, </w:t>
      </w:r>
      <w:proofErr w:type="spellStart"/>
      <w:r w:rsidR="00EE27AE" w:rsidRPr="003144AD">
        <w:rPr>
          <w:b w:val="0"/>
          <w:sz w:val="28"/>
          <w:szCs w:val="28"/>
        </w:rPr>
        <w:t>Лиознов</w:t>
      </w:r>
      <w:proofErr w:type="spellEnd"/>
      <w:r w:rsidR="00EE27AE" w:rsidRPr="003144AD">
        <w:rPr>
          <w:b w:val="0"/>
          <w:sz w:val="28"/>
          <w:szCs w:val="28"/>
        </w:rPr>
        <w:t xml:space="preserve"> Д.А.</w:t>
      </w:r>
      <w:r w:rsidR="00E638DB" w:rsidRPr="003144AD">
        <w:rPr>
          <w:b w:val="0"/>
          <w:sz w:val="28"/>
          <w:szCs w:val="28"/>
          <w:vertAlign w:val="superscript"/>
        </w:rPr>
        <w:t>2</w:t>
      </w:r>
      <w:r w:rsidR="00D9679A" w:rsidRPr="003144AD">
        <w:rPr>
          <w:b w:val="0"/>
          <w:sz w:val="28"/>
          <w:szCs w:val="28"/>
        </w:rPr>
        <w:t xml:space="preserve">, </w:t>
      </w:r>
      <w:r w:rsidR="00EE27AE" w:rsidRPr="003144AD">
        <w:rPr>
          <w:b w:val="0"/>
          <w:sz w:val="28"/>
          <w:szCs w:val="28"/>
        </w:rPr>
        <w:t>Морозов В.Г.</w:t>
      </w:r>
      <w:r w:rsidR="00E638DB" w:rsidRPr="003144AD">
        <w:rPr>
          <w:b w:val="0"/>
          <w:sz w:val="28"/>
          <w:szCs w:val="28"/>
          <w:vertAlign w:val="superscript"/>
        </w:rPr>
        <w:t>3</w:t>
      </w:r>
      <w:r w:rsidR="000D6255" w:rsidRPr="003144AD">
        <w:rPr>
          <w:b w:val="0"/>
          <w:sz w:val="28"/>
          <w:szCs w:val="28"/>
        </w:rPr>
        <w:t xml:space="preserve">, </w:t>
      </w:r>
      <w:r w:rsidR="00EE27AE" w:rsidRPr="003144AD">
        <w:rPr>
          <w:b w:val="0"/>
          <w:sz w:val="28"/>
          <w:szCs w:val="28"/>
        </w:rPr>
        <w:t>Ягода А.В.</w:t>
      </w:r>
      <w:r w:rsidR="00E638DB" w:rsidRPr="003144AD">
        <w:rPr>
          <w:b w:val="0"/>
          <w:sz w:val="28"/>
          <w:szCs w:val="28"/>
          <w:vertAlign w:val="superscript"/>
        </w:rPr>
        <w:t>1</w:t>
      </w:r>
      <w:r w:rsidR="000D6255" w:rsidRPr="003144AD">
        <w:rPr>
          <w:b w:val="0"/>
          <w:sz w:val="28"/>
          <w:szCs w:val="28"/>
        </w:rPr>
        <w:t xml:space="preserve">, </w:t>
      </w:r>
      <w:r w:rsidR="00EE27AE" w:rsidRPr="003144AD">
        <w:rPr>
          <w:b w:val="0"/>
          <w:sz w:val="28"/>
          <w:szCs w:val="28"/>
        </w:rPr>
        <w:t>Корой П.В.</w:t>
      </w:r>
      <w:r w:rsidR="00E638DB" w:rsidRPr="003144AD">
        <w:rPr>
          <w:b w:val="0"/>
          <w:sz w:val="28"/>
          <w:szCs w:val="28"/>
          <w:vertAlign w:val="superscript"/>
        </w:rPr>
        <w:t>1</w:t>
      </w:r>
      <w:r w:rsidR="000D6255" w:rsidRPr="003144AD">
        <w:rPr>
          <w:b w:val="0"/>
          <w:sz w:val="28"/>
          <w:szCs w:val="28"/>
        </w:rPr>
        <w:t xml:space="preserve">, </w:t>
      </w:r>
      <w:r w:rsidR="00EE27AE" w:rsidRPr="003144AD">
        <w:rPr>
          <w:b w:val="0"/>
          <w:sz w:val="28"/>
          <w:szCs w:val="28"/>
        </w:rPr>
        <w:t>Николаенко С.Л.</w:t>
      </w:r>
      <w:r w:rsidR="00E638DB" w:rsidRPr="003144AD">
        <w:rPr>
          <w:b w:val="0"/>
          <w:sz w:val="28"/>
          <w:szCs w:val="28"/>
          <w:vertAlign w:val="superscript"/>
        </w:rPr>
        <w:t>2</w:t>
      </w:r>
      <w:r w:rsidR="00AF292C" w:rsidRPr="003144AD">
        <w:rPr>
          <w:b w:val="0"/>
          <w:sz w:val="28"/>
          <w:szCs w:val="28"/>
        </w:rPr>
        <w:t xml:space="preserve">, </w:t>
      </w:r>
      <w:r w:rsidR="00EE27AE" w:rsidRPr="003144AD">
        <w:rPr>
          <w:b w:val="0"/>
          <w:sz w:val="28"/>
          <w:szCs w:val="28"/>
        </w:rPr>
        <w:t>Глазкова Е.Я.</w:t>
      </w:r>
      <w:r w:rsidR="00E638DB" w:rsidRPr="003144AD">
        <w:rPr>
          <w:b w:val="0"/>
          <w:sz w:val="28"/>
          <w:szCs w:val="28"/>
          <w:vertAlign w:val="superscript"/>
        </w:rPr>
        <w:t>3</w:t>
      </w:r>
      <w:r w:rsidR="00AF292C" w:rsidRPr="003144AD">
        <w:rPr>
          <w:b w:val="0"/>
          <w:sz w:val="28"/>
          <w:szCs w:val="28"/>
        </w:rPr>
        <w:t>,</w:t>
      </w:r>
      <w:r w:rsidR="00D9679A" w:rsidRPr="003144AD">
        <w:rPr>
          <w:b w:val="0"/>
          <w:sz w:val="28"/>
          <w:szCs w:val="28"/>
        </w:rPr>
        <w:t xml:space="preserve"> </w:t>
      </w:r>
      <w:proofErr w:type="spellStart"/>
      <w:r w:rsidR="00EE27AE" w:rsidRPr="003144AD">
        <w:rPr>
          <w:b w:val="0"/>
          <w:sz w:val="28"/>
          <w:szCs w:val="28"/>
        </w:rPr>
        <w:t>Лиу</w:t>
      </w:r>
      <w:proofErr w:type="spellEnd"/>
      <w:r w:rsidR="00EE27AE" w:rsidRPr="003144AD">
        <w:rPr>
          <w:b w:val="0"/>
          <w:sz w:val="28"/>
          <w:szCs w:val="28"/>
        </w:rPr>
        <w:t xml:space="preserve"> Г.Т.</w:t>
      </w:r>
      <w:r w:rsidR="003E66AA" w:rsidRPr="003144AD">
        <w:rPr>
          <w:rStyle w:val="a4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3E66AA" w:rsidRPr="003144AD"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="001A1D9B" w:rsidRPr="003144AD">
        <w:rPr>
          <w:rStyle w:val="10"/>
          <w:b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proofErr w:type="spellStart"/>
      <w:r w:rsidR="00EE27AE" w:rsidRPr="003144AD">
        <w:rPr>
          <w:rStyle w:val="a4"/>
          <w:color w:val="000000"/>
          <w:sz w:val="28"/>
          <w:szCs w:val="28"/>
          <w:shd w:val="clear" w:color="auto" w:fill="FFFFFF"/>
        </w:rPr>
        <w:t>Хань</w:t>
      </w:r>
      <w:proofErr w:type="spellEnd"/>
      <w:r w:rsidR="00EE27AE" w:rsidRPr="003144AD">
        <w:rPr>
          <w:rStyle w:val="a4"/>
          <w:color w:val="000000"/>
          <w:sz w:val="28"/>
          <w:szCs w:val="28"/>
          <w:shd w:val="clear" w:color="auto" w:fill="FFFFFF"/>
        </w:rPr>
        <w:t xml:space="preserve"> Я</w:t>
      </w:r>
      <w:r w:rsidR="001A1D9B" w:rsidRPr="003144AD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="001A1D9B" w:rsidRPr="003144AD">
        <w:rPr>
          <w:rStyle w:val="10"/>
          <w:color w:val="000000"/>
          <w:sz w:val="28"/>
          <w:szCs w:val="28"/>
          <w:shd w:val="clear" w:color="auto" w:fill="FFFFFF"/>
          <w:vertAlign w:val="superscript"/>
        </w:rPr>
        <w:t>5</w:t>
      </w:r>
    </w:p>
    <w:p w:rsidR="003E66AA" w:rsidRPr="003144AD" w:rsidRDefault="00E638DB" w:rsidP="001A1D9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44AD">
        <w:rPr>
          <w:sz w:val="28"/>
          <w:szCs w:val="28"/>
          <w:vertAlign w:val="superscript"/>
        </w:rPr>
        <w:t>1</w:t>
      </w:r>
      <w:r w:rsidR="00EE27AE" w:rsidRPr="003144AD">
        <w:rPr>
          <w:sz w:val="28"/>
          <w:szCs w:val="28"/>
          <w:vertAlign w:val="superscript"/>
        </w:rPr>
        <w:t xml:space="preserve"> </w:t>
      </w:r>
      <w:r w:rsidR="00EE27AE" w:rsidRPr="003144AD">
        <w:rPr>
          <w:sz w:val="28"/>
          <w:szCs w:val="28"/>
        </w:rPr>
        <w:t>Ставропольский государственный медицинский университет</w:t>
      </w:r>
      <w:proofErr w:type="gramStart"/>
      <w:r w:rsidRPr="003144AD">
        <w:rPr>
          <w:sz w:val="28"/>
          <w:szCs w:val="28"/>
          <w:vertAlign w:val="superscript"/>
        </w:rPr>
        <w:t>2</w:t>
      </w:r>
      <w:proofErr w:type="gramEnd"/>
      <w:r w:rsidR="00EE27AE" w:rsidRPr="003144AD">
        <w:rPr>
          <w:sz w:val="28"/>
          <w:szCs w:val="28"/>
        </w:rPr>
        <w:t>,</w:t>
      </w:r>
      <w:r w:rsidRPr="003144AD">
        <w:rPr>
          <w:sz w:val="28"/>
          <w:szCs w:val="28"/>
          <w:vertAlign w:val="superscript"/>
        </w:rPr>
        <w:t xml:space="preserve"> </w:t>
      </w:r>
      <w:r w:rsidR="00EE27AE" w:rsidRPr="003144AD">
        <w:rPr>
          <w:color w:val="000000"/>
          <w:sz w:val="28"/>
          <w:szCs w:val="28"/>
          <w:shd w:val="clear" w:color="auto" w:fill="FFFFFF"/>
        </w:rPr>
        <w:t>Первый Санкт-Петербургский государственный медицинский университет имени академика И. П. Павлова</w:t>
      </w:r>
      <w:r w:rsidR="00EE27AE" w:rsidRPr="003144AD">
        <w:rPr>
          <w:color w:val="000000"/>
          <w:sz w:val="28"/>
          <w:szCs w:val="28"/>
          <w:shd w:val="clear" w:color="auto" w:fill="FFFFFF"/>
        </w:rPr>
        <w:t xml:space="preserve">, </w:t>
      </w:r>
      <w:r w:rsidRPr="003144AD">
        <w:rPr>
          <w:sz w:val="28"/>
          <w:szCs w:val="28"/>
          <w:vertAlign w:val="superscript"/>
        </w:rPr>
        <w:t>3</w:t>
      </w:r>
      <w:r w:rsidR="00EE27AE" w:rsidRPr="003144AD">
        <w:rPr>
          <w:sz w:val="28"/>
          <w:szCs w:val="28"/>
          <w:vertAlign w:val="superscript"/>
        </w:rPr>
        <w:t xml:space="preserve"> </w:t>
      </w:r>
      <w:r w:rsidR="00EE27AE" w:rsidRPr="003144AD">
        <w:rPr>
          <w:sz w:val="28"/>
          <w:szCs w:val="28"/>
        </w:rPr>
        <w:t>Медицинская компания «</w:t>
      </w:r>
      <w:proofErr w:type="spellStart"/>
      <w:r w:rsidR="00EE27AE" w:rsidRPr="003144AD">
        <w:rPr>
          <w:sz w:val="28"/>
          <w:szCs w:val="28"/>
        </w:rPr>
        <w:t>Гепатолог</w:t>
      </w:r>
      <w:proofErr w:type="spellEnd"/>
      <w:r w:rsidR="00EE27AE" w:rsidRPr="003144AD">
        <w:rPr>
          <w:sz w:val="28"/>
          <w:szCs w:val="28"/>
        </w:rPr>
        <w:t>», Самара</w:t>
      </w:r>
      <w:r w:rsidRPr="003144AD">
        <w:rPr>
          <w:sz w:val="28"/>
          <w:szCs w:val="28"/>
        </w:rPr>
        <w:t>,</w:t>
      </w:r>
      <w:r w:rsidR="00EE27AE" w:rsidRPr="003144AD">
        <w:rPr>
          <w:sz w:val="28"/>
          <w:szCs w:val="28"/>
        </w:rPr>
        <w:t xml:space="preserve"> Институт Материя Медика Академия медицинских наук Китая</w:t>
      </w:r>
      <w:r w:rsidRPr="003144AD">
        <w:rPr>
          <w:sz w:val="28"/>
          <w:szCs w:val="28"/>
        </w:rPr>
        <w:t xml:space="preserve"> </w:t>
      </w:r>
      <w:r w:rsidR="003E66AA" w:rsidRPr="003144AD">
        <w:rPr>
          <w:sz w:val="28"/>
          <w:szCs w:val="28"/>
          <w:vertAlign w:val="superscript"/>
        </w:rPr>
        <w:t>4</w:t>
      </w:r>
      <w:r w:rsidR="00EE27AE" w:rsidRPr="003144AD">
        <w:rPr>
          <w:sz w:val="28"/>
          <w:szCs w:val="28"/>
          <w:vertAlign w:val="superscript"/>
        </w:rPr>
        <w:t xml:space="preserve"> </w:t>
      </w:r>
      <w:r w:rsidR="003E66AA" w:rsidRPr="003144AD">
        <w:rPr>
          <w:color w:val="000000"/>
          <w:sz w:val="28"/>
          <w:szCs w:val="28"/>
          <w:shd w:val="clear" w:color="auto" w:fill="FFFFFF"/>
        </w:rPr>
        <w:t>,</w:t>
      </w:r>
      <w:r w:rsidR="001A1D9B" w:rsidRPr="003144AD">
        <w:rPr>
          <w:rStyle w:val="10"/>
          <w:color w:val="000000"/>
          <w:sz w:val="28"/>
          <w:szCs w:val="28"/>
          <w:shd w:val="clear" w:color="auto" w:fill="FFFFFF"/>
        </w:rPr>
        <w:t xml:space="preserve"> </w:t>
      </w:r>
      <w:r w:rsidR="001A1D9B" w:rsidRPr="003144AD">
        <w:rPr>
          <w:rStyle w:val="10"/>
          <w:b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EE27AE" w:rsidRPr="003144AD">
        <w:rPr>
          <w:rStyle w:val="10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proofErr w:type="spellStart"/>
      <w:r w:rsidR="00EE27AE" w:rsidRPr="003144AD">
        <w:rPr>
          <w:rStyle w:val="10"/>
          <w:b w:val="0"/>
          <w:color w:val="000000"/>
          <w:sz w:val="28"/>
          <w:szCs w:val="28"/>
          <w:shd w:val="clear" w:color="auto" w:fill="FFFFFF"/>
        </w:rPr>
        <w:t>Сидзиньская</w:t>
      </w:r>
      <w:proofErr w:type="spellEnd"/>
      <w:r w:rsidR="00EE27AE" w:rsidRPr="003144AD">
        <w:rPr>
          <w:rStyle w:val="10"/>
          <w:b w:val="0"/>
          <w:color w:val="000000"/>
          <w:sz w:val="28"/>
          <w:szCs w:val="28"/>
          <w:shd w:val="clear" w:color="auto" w:fill="FFFFFF"/>
        </w:rPr>
        <w:t xml:space="preserve"> клиника гастроэнтерологии, Четвертый Военный Медицинский Университет</w:t>
      </w:r>
    </w:p>
    <w:p w:rsidR="00E638DB" w:rsidRPr="003144AD" w:rsidRDefault="00E638DB" w:rsidP="00E638DB">
      <w:pPr>
        <w:jc w:val="center"/>
        <w:rPr>
          <w:sz w:val="28"/>
          <w:szCs w:val="28"/>
        </w:rPr>
      </w:pPr>
    </w:p>
    <w:p w:rsidR="003146B5" w:rsidRPr="003144AD" w:rsidRDefault="003146B5" w:rsidP="003146B5">
      <w:pPr>
        <w:pStyle w:val="p86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3144AD">
        <w:rPr>
          <w:iCs/>
          <w:sz w:val="28"/>
          <w:szCs w:val="28"/>
          <w:shd w:val="clear" w:color="auto" w:fill="FFFFFF"/>
        </w:rPr>
        <w:t>Хронический вирусный гепатит</w:t>
      </w:r>
      <w:proofErr w:type="gramStart"/>
      <w:r w:rsidRPr="003144AD">
        <w:rPr>
          <w:iCs/>
          <w:sz w:val="28"/>
          <w:szCs w:val="28"/>
          <w:shd w:val="clear" w:color="auto" w:fill="FFFFFF"/>
        </w:rPr>
        <w:t xml:space="preserve"> С</w:t>
      </w:r>
      <w:proofErr w:type="gramEnd"/>
      <w:r w:rsidRPr="003144AD">
        <w:rPr>
          <w:iCs/>
          <w:sz w:val="28"/>
          <w:szCs w:val="28"/>
          <w:shd w:val="clear" w:color="auto" w:fill="FFFFFF"/>
        </w:rPr>
        <w:t xml:space="preserve"> </w:t>
      </w:r>
      <w:r w:rsidR="00732B5E" w:rsidRPr="003144AD">
        <w:rPr>
          <w:iCs/>
          <w:sz w:val="28"/>
          <w:szCs w:val="28"/>
          <w:shd w:val="clear" w:color="auto" w:fill="FFFFFF"/>
        </w:rPr>
        <w:t xml:space="preserve">(ХГС) </w:t>
      </w:r>
      <w:r w:rsidRPr="003144AD">
        <w:rPr>
          <w:iCs/>
          <w:sz w:val="28"/>
          <w:szCs w:val="28"/>
          <w:shd w:val="clear" w:color="auto" w:fill="FFFFFF"/>
        </w:rPr>
        <w:t xml:space="preserve">представляет собой важную медицинскую и социальную проблему в виду его широкой распространенности, </w:t>
      </w:r>
      <w:r w:rsidR="00D9679A" w:rsidRPr="003144AD">
        <w:rPr>
          <w:iCs/>
          <w:sz w:val="28"/>
          <w:szCs w:val="28"/>
          <w:shd w:val="clear" w:color="auto" w:fill="FFFFFF"/>
        </w:rPr>
        <w:t xml:space="preserve"> </w:t>
      </w:r>
      <w:r w:rsidRPr="003144AD">
        <w:rPr>
          <w:iCs/>
          <w:sz w:val="28"/>
          <w:szCs w:val="28"/>
          <w:shd w:val="clear" w:color="auto" w:fill="FFFFFF"/>
        </w:rPr>
        <w:t>нередко прогр</w:t>
      </w:r>
      <w:r w:rsidR="00672A3B" w:rsidRPr="003144AD">
        <w:rPr>
          <w:iCs/>
          <w:sz w:val="28"/>
          <w:szCs w:val="28"/>
          <w:shd w:val="clear" w:color="auto" w:fill="FFFFFF"/>
        </w:rPr>
        <w:t>ессирующему течению и</w:t>
      </w:r>
      <w:r w:rsidRPr="003144AD">
        <w:rPr>
          <w:iCs/>
          <w:sz w:val="28"/>
          <w:szCs w:val="28"/>
          <w:shd w:val="clear" w:color="auto" w:fill="FFFFFF"/>
        </w:rPr>
        <w:t xml:space="preserve"> способности приводить к </w:t>
      </w:r>
      <w:r w:rsidR="00672A3B" w:rsidRPr="003144AD">
        <w:rPr>
          <w:iCs/>
          <w:sz w:val="28"/>
          <w:szCs w:val="28"/>
          <w:shd w:val="clear" w:color="auto" w:fill="FFFFFF"/>
        </w:rPr>
        <w:t xml:space="preserve">тяжелым финальным стадиям заболевания – циррозу печени и гепатоцеллюлярной карциноме. В настоящий момент на фармацевтическом рынке появились высокоэффективные препараты прямого противовирусного действия, применяемые как в сочетании с </w:t>
      </w:r>
      <w:proofErr w:type="spellStart"/>
      <w:r w:rsidR="00672A3B" w:rsidRPr="003144AD">
        <w:rPr>
          <w:iCs/>
          <w:sz w:val="28"/>
          <w:szCs w:val="28"/>
          <w:shd w:val="clear" w:color="auto" w:fill="FFFFFF"/>
        </w:rPr>
        <w:t>пегилированными</w:t>
      </w:r>
      <w:proofErr w:type="spellEnd"/>
      <w:r w:rsidR="00672A3B" w:rsidRPr="003144AD">
        <w:rPr>
          <w:iCs/>
          <w:sz w:val="28"/>
          <w:szCs w:val="28"/>
          <w:shd w:val="clear" w:color="auto" w:fill="FFFFFF"/>
        </w:rPr>
        <w:t xml:space="preserve"> интерферонами</w:t>
      </w:r>
      <w:r w:rsidR="00732B5E" w:rsidRPr="003144AD">
        <w:rPr>
          <w:iCs/>
          <w:sz w:val="28"/>
          <w:szCs w:val="28"/>
          <w:shd w:val="clear" w:color="auto" w:fill="FFFFFF"/>
        </w:rPr>
        <w:t xml:space="preserve"> (</w:t>
      </w:r>
      <w:proofErr w:type="spellStart"/>
      <w:r w:rsidR="00732B5E" w:rsidRPr="003144AD">
        <w:rPr>
          <w:iCs/>
          <w:sz w:val="28"/>
          <w:szCs w:val="28"/>
          <w:shd w:val="clear" w:color="auto" w:fill="FFFFFF"/>
        </w:rPr>
        <w:t>ПегИФН</w:t>
      </w:r>
      <w:proofErr w:type="spellEnd"/>
      <w:r w:rsidR="00732B5E" w:rsidRPr="003144AD">
        <w:rPr>
          <w:iCs/>
          <w:sz w:val="28"/>
          <w:szCs w:val="28"/>
          <w:shd w:val="clear" w:color="auto" w:fill="FFFFFF"/>
        </w:rPr>
        <w:t>)</w:t>
      </w:r>
      <w:r w:rsidR="00672A3B" w:rsidRPr="003144AD">
        <w:rPr>
          <w:iCs/>
          <w:sz w:val="28"/>
          <w:szCs w:val="28"/>
          <w:shd w:val="clear" w:color="auto" w:fill="FFFFFF"/>
        </w:rPr>
        <w:t xml:space="preserve">, так и в </w:t>
      </w:r>
      <w:proofErr w:type="spellStart"/>
      <w:r w:rsidR="00672A3B" w:rsidRPr="003144AD">
        <w:rPr>
          <w:iCs/>
          <w:sz w:val="28"/>
          <w:szCs w:val="28"/>
          <w:shd w:val="clear" w:color="auto" w:fill="FFFFFF"/>
        </w:rPr>
        <w:t>безинтерфероновых</w:t>
      </w:r>
      <w:proofErr w:type="spellEnd"/>
      <w:r w:rsidR="00672A3B" w:rsidRPr="003144AD">
        <w:rPr>
          <w:iCs/>
          <w:sz w:val="28"/>
          <w:szCs w:val="28"/>
          <w:shd w:val="clear" w:color="auto" w:fill="FFFFFF"/>
        </w:rPr>
        <w:t xml:space="preserve"> комбинациях [</w:t>
      </w:r>
      <w:r w:rsidR="00732B5E" w:rsidRPr="003144AD">
        <w:rPr>
          <w:iCs/>
          <w:sz w:val="28"/>
          <w:szCs w:val="28"/>
          <w:shd w:val="clear" w:color="auto" w:fill="FFFFFF"/>
        </w:rPr>
        <w:t>1</w:t>
      </w:r>
      <w:r w:rsidR="00813EEC" w:rsidRPr="003144AD">
        <w:rPr>
          <w:iCs/>
          <w:sz w:val="28"/>
          <w:szCs w:val="28"/>
          <w:shd w:val="clear" w:color="auto" w:fill="FFFFFF"/>
        </w:rPr>
        <w:t xml:space="preserve">, </w:t>
      </w:r>
      <w:r w:rsidR="00732B5E" w:rsidRPr="003144AD">
        <w:rPr>
          <w:iCs/>
          <w:sz w:val="28"/>
          <w:szCs w:val="28"/>
          <w:shd w:val="clear" w:color="auto" w:fill="FFFFFF"/>
        </w:rPr>
        <w:t>2</w:t>
      </w:r>
      <w:r w:rsidR="00813EEC" w:rsidRPr="003144AD">
        <w:rPr>
          <w:iCs/>
          <w:sz w:val="28"/>
          <w:szCs w:val="28"/>
          <w:shd w:val="clear" w:color="auto" w:fill="FFFFFF"/>
        </w:rPr>
        <w:t xml:space="preserve">, </w:t>
      </w:r>
      <w:r w:rsidR="00732B5E" w:rsidRPr="003144AD">
        <w:rPr>
          <w:sz w:val="28"/>
          <w:szCs w:val="28"/>
        </w:rPr>
        <w:t>6,</w:t>
      </w:r>
      <w:r w:rsidR="00813EEC" w:rsidRPr="003144AD">
        <w:rPr>
          <w:sz w:val="28"/>
          <w:szCs w:val="28"/>
        </w:rPr>
        <w:t xml:space="preserve"> </w:t>
      </w:r>
      <w:r w:rsidR="006867F5" w:rsidRPr="003144AD">
        <w:rPr>
          <w:sz w:val="28"/>
          <w:szCs w:val="28"/>
        </w:rPr>
        <w:t>10</w:t>
      </w:r>
      <w:r w:rsidR="00813EEC" w:rsidRPr="003144AD">
        <w:rPr>
          <w:sz w:val="28"/>
          <w:szCs w:val="28"/>
        </w:rPr>
        <w:t xml:space="preserve">, </w:t>
      </w:r>
      <w:r w:rsidR="00732B5E" w:rsidRPr="003144AD">
        <w:rPr>
          <w:sz w:val="28"/>
          <w:szCs w:val="28"/>
        </w:rPr>
        <w:t>1</w:t>
      </w:r>
      <w:r w:rsidR="006867F5" w:rsidRPr="003144AD">
        <w:rPr>
          <w:sz w:val="28"/>
          <w:szCs w:val="28"/>
        </w:rPr>
        <w:t>3</w:t>
      </w:r>
      <w:r w:rsidR="00672A3B" w:rsidRPr="003144AD">
        <w:rPr>
          <w:iCs/>
          <w:sz w:val="28"/>
          <w:szCs w:val="28"/>
          <w:shd w:val="clear" w:color="auto" w:fill="FFFFFF"/>
        </w:rPr>
        <w:t xml:space="preserve">]. </w:t>
      </w:r>
      <w:r w:rsidR="00732B5E" w:rsidRPr="003144AD">
        <w:rPr>
          <w:iCs/>
          <w:sz w:val="28"/>
          <w:szCs w:val="28"/>
          <w:shd w:val="clear" w:color="auto" w:fill="FFFFFF"/>
        </w:rPr>
        <w:t>Однако</w:t>
      </w:r>
      <w:r w:rsidR="00732B5E" w:rsidRPr="003144AD">
        <w:rPr>
          <w:sz w:val="28"/>
          <w:szCs w:val="28"/>
          <w:lang w:eastAsia="zh-CN"/>
        </w:rPr>
        <w:t xml:space="preserve"> из-за высокой стоимости большинства схем противовирусной терапии </w:t>
      </w:r>
      <w:r w:rsidR="0046733D" w:rsidRPr="003144AD">
        <w:rPr>
          <w:sz w:val="28"/>
          <w:szCs w:val="28"/>
          <w:lang w:eastAsia="zh-CN"/>
        </w:rPr>
        <w:t xml:space="preserve">(ПВТ) </w:t>
      </w:r>
      <w:r w:rsidR="00732B5E" w:rsidRPr="003144AD">
        <w:rPr>
          <w:sz w:val="28"/>
          <w:szCs w:val="28"/>
          <w:lang w:eastAsia="zh-CN"/>
        </w:rPr>
        <w:t xml:space="preserve">ХГС доступность применения этих препаратов в популяции нуждающихся в лечении пациентов сомнительна и до сих пор остаются актуальными стандартные схемы. При этом появилось значительное количество больных ХГС, не ответивших на предшествующую терапию </w:t>
      </w:r>
      <w:proofErr w:type="spellStart"/>
      <w:r w:rsidR="00732B5E" w:rsidRPr="003144AD">
        <w:rPr>
          <w:sz w:val="28"/>
          <w:szCs w:val="28"/>
          <w:lang w:eastAsia="zh-CN"/>
        </w:rPr>
        <w:t>ПегИФН</w:t>
      </w:r>
      <w:proofErr w:type="spellEnd"/>
      <w:r w:rsidR="00732B5E" w:rsidRPr="003144AD">
        <w:rPr>
          <w:sz w:val="28"/>
          <w:szCs w:val="28"/>
          <w:lang w:eastAsia="zh-CN"/>
        </w:rPr>
        <w:t xml:space="preserve"> и </w:t>
      </w:r>
      <w:proofErr w:type="spellStart"/>
      <w:r w:rsidR="00732B5E" w:rsidRPr="003144AD">
        <w:rPr>
          <w:sz w:val="28"/>
          <w:szCs w:val="28"/>
          <w:lang w:eastAsia="zh-CN"/>
        </w:rPr>
        <w:t>рибавирином</w:t>
      </w:r>
      <w:proofErr w:type="spellEnd"/>
      <w:r w:rsidR="00732B5E" w:rsidRPr="003144AD">
        <w:rPr>
          <w:sz w:val="28"/>
          <w:szCs w:val="28"/>
          <w:lang w:eastAsia="zh-CN"/>
        </w:rPr>
        <w:t xml:space="preserve"> или имеющих противопоказание к лечению. Значительная часть этих пациентов имеет высокую активность заболевания, что создает условия к быстрому </w:t>
      </w:r>
      <w:r w:rsidR="00904BD4" w:rsidRPr="003144AD">
        <w:rPr>
          <w:sz w:val="28"/>
          <w:szCs w:val="28"/>
          <w:lang w:eastAsia="zh-CN"/>
        </w:rPr>
        <w:t>развитию</w:t>
      </w:r>
      <w:r w:rsidR="00732B5E" w:rsidRPr="003144AD">
        <w:rPr>
          <w:sz w:val="28"/>
          <w:szCs w:val="28"/>
          <w:lang w:eastAsia="zh-CN"/>
        </w:rPr>
        <w:t xml:space="preserve"> </w:t>
      </w:r>
      <w:r w:rsidR="00904BD4" w:rsidRPr="003144AD">
        <w:rPr>
          <w:sz w:val="28"/>
          <w:szCs w:val="28"/>
          <w:lang w:eastAsia="zh-CN"/>
        </w:rPr>
        <w:t xml:space="preserve">печеночного фиброза. Поэтому остается актуальной идея </w:t>
      </w:r>
      <w:proofErr w:type="spellStart"/>
      <w:r w:rsidR="00904BD4" w:rsidRPr="003144AD">
        <w:rPr>
          <w:sz w:val="28"/>
          <w:szCs w:val="28"/>
          <w:lang w:eastAsia="zh-CN"/>
        </w:rPr>
        <w:t>гепатопротективной</w:t>
      </w:r>
      <w:proofErr w:type="spellEnd"/>
      <w:r w:rsidR="00904BD4" w:rsidRPr="003144AD">
        <w:rPr>
          <w:sz w:val="28"/>
          <w:szCs w:val="28"/>
          <w:lang w:eastAsia="zh-CN"/>
        </w:rPr>
        <w:t xml:space="preserve"> терапии, способной снижать активность гепатита и тормозить, тем самым, темпы </w:t>
      </w:r>
      <w:r w:rsidR="00732B5E" w:rsidRPr="003144AD">
        <w:rPr>
          <w:sz w:val="28"/>
          <w:szCs w:val="28"/>
          <w:lang w:eastAsia="zh-CN"/>
        </w:rPr>
        <w:t xml:space="preserve"> </w:t>
      </w:r>
      <w:r w:rsidR="00904BD4" w:rsidRPr="003144AD">
        <w:rPr>
          <w:sz w:val="28"/>
          <w:szCs w:val="28"/>
          <w:lang w:eastAsia="zh-CN"/>
        </w:rPr>
        <w:t>прогрессирования фиброза.</w:t>
      </w:r>
    </w:p>
    <w:p w:rsidR="00857EE7" w:rsidRPr="003144AD" w:rsidRDefault="00857EE7" w:rsidP="003146B5">
      <w:pPr>
        <w:pStyle w:val="p8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144AD">
        <w:rPr>
          <w:color w:val="000000"/>
          <w:sz w:val="28"/>
          <w:szCs w:val="28"/>
        </w:rPr>
        <w:lastRenderedPageBreak/>
        <w:t>Бициклол</w:t>
      </w:r>
      <w:proofErr w:type="spellEnd"/>
      <w:r w:rsidRPr="003144AD">
        <w:rPr>
          <w:color w:val="000000"/>
          <w:sz w:val="28"/>
          <w:szCs w:val="28"/>
        </w:rPr>
        <w:t xml:space="preserve"> – уникальный инновационный лекарственный препарат, разработанный Институтом Материя Медика Академии медицинских наук Китая в 80</w:t>
      </w:r>
      <w:r w:rsidR="00637BD2" w:rsidRPr="003144AD">
        <w:rPr>
          <w:color w:val="000000"/>
          <w:sz w:val="28"/>
          <w:szCs w:val="28"/>
        </w:rPr>
        <w:t>-</w:t>
      </w:r>
      <w:r w:rsidRPr="003144AD">
        <w:rPr>
          <w:color w:val="000000"/>
          <w:sz w:val="28"/>
          <w:szCs w:val="28"/>
        </w:rPr>
        <w:t>х г</w:t>
      </w:r>
      <w:r w:rsidR="00637BD2" w:rsidRPr="003144AD">
        <w:rPr>
          <w:color w:val="000000"/>
          <w:sz w:val="28"/>
          <w:szCs w:val="28"/>
        </w:rPr>
        <w:t>одах</w:t>
      </w:r>
      <w:r w:rsidRPr="003144AD">
        <w:rPr>
          <w:color w:val="000000"/>
          <w:sz w:val="28"/>
          <w:szCs w:val="28"/>
        </w:rPr>
        <w:t xml:space="preserve"> </w:t>
      </w:r>
      <w:r w:rsidRPr="003144AD">
        <w:rPr>
          <w:color w:val="000000"/>
          <w:sz w:val="28"/>
          <w:szCs w:val="28"/>
          <w:lang w:val="en-US"/>
        </w:rPr>
        <w:t>XX</w:t>
      </w:r>
      <w:r w:rsidRPr="003144AD">
        <w:rPr>
          <w:color w:val="000000"/>
          <w:sz w:val="28"/>
          <w:szCs w:val="28"/>
        </w:rPr>
        <w:t xml:space="preserve"> века.</w:t>
      </w:r>
    </w:p>
    <w:p w:rsidR="00014BD9" w:rsidRPr="003144AD" w:rsidRDefault="00857EE7" w:rsidP="003146B5">
      <w:pPr>
        <w:pStyle w:val="p86"/>
        <w:spacing w:before="0" w:beforeAutospacing="0" w:after="0" w:afterAutospacing="0" w:line="360" w:lineRule="auto"/>
        <w:ind w:firstLine="709"/>
        <w:jc w:val="both"/>
        <w:rPr>
          <w:rStyle w:val="ft8"/>
          <w:color w:val="000000"/>
          <w:sz w:val="28"/>
          <w:szCs w:val="28"/>
        </w:rPr>
      </w:pPr>
      <w:r w:rsidRPr="003144AD">
        <w:rPr>
          <w:color w:val="000000"/>
          <w:sz w:val="28"/>
          <w:szCs w:val="28"/>
        </w:rPr>
        <w:t xml:space="preserve">С целью создания нового </w:t>
      </w:r>
      <w:proofErr w:type="spellStart"/>
      <w:r w:rsidRPr="003144AD">
        <w:rPr>
          <w:color w:val="000000"/>
          <w:sz w:val="28"/>
          <w:szCs w:val="28"/>
        </w:rPr>
        <w:t>гепатопротектора</w:t>
      </w:r>
      <w:proofErr w:type="spellEnd"/>
      <w:r w:rsidRPr="003144AD">
        <w:rPr>
          <w:color w:val="000000"/>
          <w:sz w:val="28"/>
          <w:szCs w:val="28"/>
        </w:rPr>
        <w:t xml:space="preserve"> было иссл</w:t>
      </w:r>
      <w:r w:rsidR="00637BD2" w:rsidRPr="003144AD">
        <w:rPr>
          <w:color w:val="000000"/>
          <w:sz w:val="28"/>
          <w:szCs w:val="28"/>
        </w:rPr>
        <w:t>е</w:t>
      </w:r>
      <w:r w:rsidRPr="003144AD">
        <w:rPr>
          <w:color w:val="000000"/>
          <w:sz w:val="28"/>
          <w:szCs w:val="28"/>
        </w:rPr>
        <w:t xml:space="preserve">довано множество соединений-аналогов активного компонента </w:t>
      </w:r>
      <w:proofErr w:type="spellStart"/>
      <w:r w:rsidRPr="003144AD">
        <w:rPr>
          <w:color w:val="000000"/>
          <w:sz w:val="28"/>
          <w:szCs w:val="28"/>
          <w:lang w:val="en-US"/>
        </w:rPr>
        <w:t>schizandrin</w:t>
      </w:r>
      <w:proofErr w:type="spellEnd"/>
      <w:r w:rsidRPr="003144AD">
        <w:rPr>
          <w:color w:val="000000"/>
          <w:sz w:val="28"/>
          <w:szCs w:val="28"/>
        </w:rPr>
        <w:t xml:space="preserve"> </w:t>
      </w:r>
      <w:r w:rsidRPr="003144AD">
        <w:rPr>
          <w:color w:val="000000"/>
          <w:sz w:val="28"/>
          <w:szCs w:val="28"/>
          <w:lang w:val="en-US"/>
        </w:rPr>
        <w:t>C</w:t>
      </w:r>
      <w:r w:rsidRPr="003144AD">
        <w:rPr>
          <w:color w:val="000000"/>
          <w:sz w:val="28"/>
          <w:szCs w:val="28"/>
        </w:rPr>
        <w:t xml:space="preserve"> </w:t>
      </w:r>
      <w:r w:rsidRPr="003144AD">
        <w:rPr>
          <w:color w:val="000000"/>
          <w:sz w:val="28"/>
          <w:szCs w:val="28"/>
        </w:rPr>
        <w:t>из</w:t>
      </w:r>
      <w:r w:rsidRPr="003144AD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3144AD">
        <w:rPr>
          <w:rStyle w:val="ft7"/>
          <w:iCs/>
          <w:color w:val="000000"/>
          <w:sz w:val="28"/>
          <w:szCs w:val="28"/>
          <w:lang w:val="en-US"/>
        </w:rPr>
        <w:t>Fructus</w:t>
      </w:r>
      <w:proofErr w:type="spellEnd"/>
      <w:r w:rsidRPr="003144AD">
        <w:rPr>
          <w:rStyle w:val="ft7"/>
          <w:iCs/>
          <w:color w:val="000000"/>
          <w:sz w:val="28"/>
          <w:szCs w:val="28"/>
        </w:rPr>
        <w:t xml:space="preserve"> </w:t>
      </w:r>
      <w:proofErr w:type="spellStart"/>
      <w:r w:rsidRPr="003144AD">
        <w:rPr>
          <w:rStyle w:val="ft7"/>
          <w:iCs/>
          <w:color w:val="000000"/>
          <w:sz w:val="28"/>
          <w:szCs w:val="28"/>
          <w:lang w:val="en-US"/>
        </w:rPr>
        <w:t>Schiznadrae</w:t>
      </w:r>
      <w:proofErr w:type="spellEnd"/>
      <w:r w:rsidRPr="003144AD">
        <w:rPr>
          <w:rStyle w:val="ft7"/>
          <w:iCs/>
          <w:color w:val="000000"/>
          <w:sz w:val="28"/>
          <w:szCs w:val="28"/>
        </w:rPr>
        <w:t>, -</w:t>
      </w:r>
      <w:r w:rsidR="00014BD9" w:rsidRPr="003144AD">
        <w:rPr>
          <w:rStyle w:val="ft7"/>
          <w:iCs/>
          <w:color w:val="000000"/>
          <w:sz w:val="28"/>
          <w:szCs w:val="28"/>
        </w:rPr>
        <w:t xml:space="preserve"> </w:t>
      </w:r>
      <w:r w:rsidRPr="003144AD">
        <w:rPr>
          <w:rStyle w:val="ft7"/>
          <w:iCs/>
          <w:color w:val="000000"/>
          <w:sz w:val="28"/>
          <w:szCs w:val="28"/>
        </w:rPr>
        <w:t>лекарственного растения, тра</w:t>
      </w:r>
      <w:r w:rsidR="00014BD9" w:rsidRPr="003144AD">
        <w:rPr>
          <w:rStyle w:val="ft7"/>
          <w:iCs/>
          <w:color w:val="000000"/>
          <w:sz w:val="28"/>
          <w:szCs w:val="28"/>
        </w:rPr>
        <w:t>д</w:t>
      </w:r>
      <w:r w:rsidRPr="003144AD">
        <w:rPr>
          <w:rStyle w:val="ft7"/>
          <w:iCs/>
          <w:color w:val="000000"/>
          <w:sz w:val="28"/>
          <w:szCs w:val="28"/>
        </w:rPr>
        <w:t>иционно применяемого в Китае.</w:t>
      </w:r>
      <w:r w:rsidR="00014BD9" w:rsidRPr="003144AD">
        <w:rPr>
          <w:rStyle w:val="ft7"/>
          <w:iCs/>
          <w:color w:val="000000"/>
          <w:sz w:val="28"/>
          <w:szCs w:val="28"/>
        </w:rPr>
        <w:t xml:space="preserve"> Од</w:t>
      </w:r>
      <w:r w:rsidR="00637BD2" w:rsidRPr="003144AD">
        <w:rPr>
          <w:rStyle w:val="ft7"/>
          <w:iCs/>
          <w:color w:val="000000"/>
          <w:sz w:val="28"/>
          <w:szCs w:val="28"/>
        </w:rPr>
        <w:t>н</w:t>
      </w:r>
      <w:r w:rsidR="00014BD9" w:rsidRPr="003144AD">
        <w:rPr>
          <w:rStyle w:val="ft7"/>
          <w:iCs/>
          <w:color w:val="000000"/>
          <w:sz w:val="28"/>
          <w:szCs w:val="28"/>
        </w:rPr>
        <w:t xml:space="preserve">им из аналогов, продемонстрировавшим наибольшую активность и стабильность явился </w:t>
      </w:r>
      <w:proofErr w:type="spellStart"/>
      <w:r w:rsidR="00014BD9" w:rsidRPr="003144AD">
        <w:rPr>
          <w:rStyle w:val="ft7"/>
          <w:iCs/>
          <w:color w:val="000000"/>
          <w:sz w:val="28"/>
          <w:szCs w:val="28"/>
          <w:lang w:val="en-US"/>
        </w:rPr>
        <w:t>bicyclol</w:t>
      </w:r>
      <w:proofErr w:type="spellEnd"/>
      <w:r w:rsidR="00014BD9" w:rsidRPr="003144AD">
        <w:rPr>
          <w:rStyle w:val="ft7"/>
          <w:iCs/>
          <w:color w:val="000000"/>
          <w:sz w:val="28"/>
          <w:szCs w:val="28"/>
        </w:rPr>
        <w:t>, обладающий способностью тормозить репликацию вируса в модели гепатит</w:t>
      </w:r>
      <w:r w:rsidR="00637BD2" w:rsidRPr="003144AD">
        <w:rPr>
          <w:rStyle w:val="ft7"/>
          <w:iCs/>
          <w:color w:val="000000"/>
          <w:sz w:val="28"/>
          <w:szCs w:val="28"/>
        </w:rPr>
        <w:t>а</w:t>
      </w:r>
      <w:r w:rsidR="00014BD9" w:rsidRPr="003144AD">
        <w:rPr>
          <w:rStyle w:val="ft7"/>
          <w:iCs/>
          <w:color w:val="000000"/>
          <w:sz w:val="28"/>
          <w:szCs w:val="28"/>
        </w:rPr>
        <w:t xml:space="preserve"> пекинских уток и клеточной линии </w:t>
      </w:r>
      <w:r w:rsidR="00014BD9" w:rsidRPr="003144AD">
        <w:rPr>
          <w:color w:val="000000"/>
          <w:sz w:val="28"/>
          <w:szCs w:val="28"/>
        </w:rPr>
        <w:t>2.2.15</w:t>
      </w:r>
      <w:r w:rsidR="00014BD9" w:rsidRPr="003144AD">
        <w:rPr>
          <w:color w:val="000000"/>
          <w:sz w:val="28"/>
          <w:szCs w:val="28"/>
        </w:rPr>
        <w:t xml:space="preserve">, в экспериментальных моделях повреждения печени, индуцированного такими </w:t>
      </w:r>
      <w:proofErr w:type="spellStart"/>
      <w:r w:rsidR="00014BD9" w:rsidRPr="003144AD">
        <w:rPr>
          <w:color w:val="000000"/>
          <w:sz w:val="28"/>
          <w:szCs w:val="28"/>
        </w:rPr>
        <w:t>гепатотоксинами</w:t>
      </w:r>
      <w:proofErr w:type="spellEnd"/>
      <w:r w:rsidR="00014BD9" w:rsidRPr="003144AD">
        <w:rPr>
          <w:color w:val="000000"/>
          <w:sz w:val="28"/>
          <w:szCs w:val="28"/>
        </w:rPr>
        <w:t xml:space="preserve">, как </w:t>
      </w:r>
      <w:proofErr w:type="spellStart"/>
      <w:r w:rsidR="00014BD9" w:rsidRPr="003144AD">
        <w:rPr>
          <w:color w:val="000000"/>
          <w:sz w:val="28"/>
          <w:szCs w:val="28"/>
          <w:lang w:val="en-US"/>
        </w:rPr>
        <w:t>CCl</w:t>
      </w:r>
      <w:proofErr w:type="spellEnd"/>
      <w:r w:rsidR="00014BD9" w:rsidRPr="003144AD">
        <w:rPr>
          <w:rStyle w:val="ft8"/>
          <w:color w:val="000000"/>
          <w:sz w:val="28"/>
          <w:szCs w:val="28"/>
        </w:rPr>
        <w:t>4</w:t>
      </w:r>
      <w:r w:rsidR="00014BD9" w:rsidRPr="003144AD">
        <w:rPr>
          <w:rStyle w:val="ft8"/>
          <w:color w:val="000000"/>
          <w:sz w:val="28"/>
          <w:szCs w:val="28"/>
        </w:rPr>
        <w:t xml:space="preserve">, </w:t>
      </w:r>
      <w:proofErr w:type="spellStart"/>
      <w:r w:rsidR="00014BD9" w:rsidRPr="003144AD">
        <w:rPr>
          <w:rStyle w:val="ft8"/>
          <w:color w:val="000000"/>
          <w:sz w:val="28"/>
          <w:szCs w:val="28"/>
        </w:rPr>
        <w:t>ацетаминофен</w:t>
      </w:r>
      <w:proofErr w:type="spellEnd"/>
      <w:r w:rsidR="00014BD9" w:rsidRPr="003144AD">
        <w:rPr>
          <w:rStyle w:val="ft8"/>
          <w:color w:val="000000"/>
          <w:sz w:val="28"/>
          <w:szCs w:val="28"/>
        </w:rPr>
        <w:t xml:space="preserve">, </w:t>
      </w:r>
      <w:proofErr w:type="spellStart"/>
      <w:r w:rsidR="00014BD9" w:rsidRPr="003144AD">
        <w:rPr>
          <w:rStyle w:val="ft8"/>
          <w:color w:val="000000"/>
          <w:sz w:val="28"/>
          <w:szCs w:val="28"/>
        </w:rPr>
        <w:t>конкавалин</w:t>
      </w:r>
      <w:proofErr w:type="spellEnd"/>
      <w:proofErr w:type="gramStart"/>
      <w:r w:rsidR="00014BD9" w:rsidRPr="003144AD">
        <w:rPr>
          <w:rStyle w:val="ft8"/>
          <w:color w:val="000000"/>
          <w:sz w:val="28"/>
          <w:szCs w:val="28"/>
        </w:rPr>
        <w:t xml:space="preserve"> А</w:t>
      </w:r>
      <w:proofErr w:type="gramEnd"/>
      <w:r w:rsidR="00014BD9" w:rsidRPr="003144AD">
        <w:rPr>
          <w:rStyle w:val="ft8"/>
          <w:color w:val="000000"/>
          <w:sz w:val="28"/>
          <w:szCs w:val="28"/>
        </w:rPr>
        <w:t xml:space="preserve">, а также </w:t>
      </w:r>
      <w:proofErr w:type="spellStart"/>
      <w:r w:rsidR="00014BD9" w:rsidRPr="003144AD">
        <w:rPr>
          <w:rStyle w:val="ft8"/>
          <w:color w:val="000000"/>
          <w:sz w:val="28"/>
          <w:szCs w:val="28"/>
        </w:rPr>
        <w:t>антифибротическим</w:t>
      </w:r>
      <w:proofErr w:type="spellEnd"/>
      <w:r w:rsidR="00014BD9" w:rsidRPr="003144AD">
        <w:rPr>
          <w:rStyle w:val="ft8"/>
          <w:color w:val="000000"/>
          <w:sz w:val="28"/>
          <w:szCs w:val="28"/>
        </w:rPr>
        <w:t xml:space="preserve"> действием в экспериментах </w:t>
      </w:r>
      <w:r w:rsidR="00014BD9" w:rsidRPr="003144AD">
        <w:rPr>
          <w:rStyle w:val="ft8"/>
          <w:color w:val="000000"/>
          <w:sz w:val="28"/>
          <w:szCs w:val="28"/>
          <w:lang w:val="en-US"/>
        </w:rPr>
        <w:t>in</w:t>
      </w:r>
      <w:r w:rsidR="00014BD9" w:rsidRPr="003144AD">
        <w:rPr>
          <w:rStyle w:val="ft8"/>
          <w:color w:val="000000"/>
          <w:sz w:val="28"/>
          <w:szCs w:val="28"/>
        </w:rPr>
        <w:t xml:space="preserve"> </w:t>
      </w:r>
      <w:r w:rsidR="00014BD9" w:rsidRPr="003144AD">
        <w:rPr>
          <w:rStyle w:val="ft8"/>
          <w:color w:val="000000"/>
          <w:sz w:val="28"/>
          <w:szCs w:val="28"/>
          <w:lang w:val="en-US"/>
        </w:rPr>
        <w:t>vivo</w:t>
      </w:r>
      <w:r w:rsidR="00014BD9" w:rsidRPr="003144AD">
        <w:rPr>
          <w:rStyle w:val="ft8"/>
          <w:color w:val="000000"/>
          <w:sz w:val="28"/>
          <w:szCs w:val="28"/>
        </w:rPr>
        <w:t>.</w:t>
      </w:r>
    </w:p>
    <w:p w:rsidR="00014BD9" w:rsidRPr="003144AD" w:rsidRDefault="00014BD9" w:rsidP="003146B5">
      <w:pPr>
        <w:pStyle w:val="p86"/>
        <w:spacing w:before="0" w:beforeAutospacing="0" w:after="0" w:afterAutospacing="0" w:line="360" w:lineRule="auto"/>
        <w:ind w:firstLine="709"/>
        <w:jc w:val="both"/>
        <w:rPr>
          <w:rStyle w:val="ft8"/>
          <w:color w:val="000000"/>
          <w:sz w:val="28"/>
          <w:szCs w:val="28"/>
        </w:rPr>
      </w:pPr>
      <w:r w:rsidRPr="003144AD">
        <w:rPr>
          <w:rStyle w:val="ft8"/>
          <w:color w:val="000000"/>
          <w:sz w:val="28"/>
          <w:szCs w:val="28"/>
        </w:rPr>
        <w:t xml:space="preserve">Механизм действия </w:t>
      </w:r>
      <w:proofErr w:type="spellStart"/>
      <w:r w:rsidRPr="003144AD">
        <w:rPr>
          <w:rStyle w:val="ft8"/>
          <w:color w:val="000000"/>
          <w:sz w:val="28"/>
          <w:szCs w:val="28"/>
        </w:rPr>
        <w:t>Бициклол</w:t>
      </w:r>
      <w:r w:rsidR="00637BD2" w:rsidRPr="003144AD">
        <w:rPr>
          <w:rStyle w:val="ft8"/>
          <w:color w:val="000000"/>
          <w:sz w:val="28"/>
          <w:szCs w:val="28"/>
        </w:rPr>
        <w:t>а</w:t>
      </w:r>
      <w:proofErr w:type="spellEnd"/>
      <w:r w:rsidRPr="003144AD">
        <w:rPr>
          <w:rStyle w:val="ft8"/>
          <w:color w:val="000000"/>
          <w:sz w:val="28"/>
          <w:szCs w:val="28"/>
        </w:rPr>
        <w:t xml:space="preserve"> может быть обусловлен анти-</w:t>
      </w:r>
      <w:proofErr w:type="spellStart"/>
      <w:r w:rsidRPr="003144AD">
        <w:rPr>
          <w:rStyle w:val="ft8"/>
          <w:color w:val="000000"/>
          <w:sz w:val="28"/>
          <w:szCs w:val="28"/>
        </w:rPr>
        <w:t>апоптотическим</w:t>
      </w:r>
      <w:proofErr w:type="spellEnd"/>
      <w:r w:rsidRPr="003144AD">
        <w:rPr>
          <w:rStyle w:val="ft8"/>
          <w:color w:val="000000"/>
          <w:sz w:val="28"/>
          <w:szCs w:val="28"/>
        </w:rPr>
        <w:t xml:space="preserve"> эффектом, </w:t>
      </w:r>
      <w:proofErr w:type="gramStart"/>
      <w:r w:rsidRPr="003144AD">
        <w:rPr>
          <w:rStyle w:val="ft8"/>
          <w:color w:val="000000"/>
          <w:sz w:val="28"/>
          <w:szCs w:val="28"/>
        </w:rPr>
        <w:t>реализуемом</w:t>
      </w:r>
      <w:proofErr w:type="gramEnd"/>
      <w:r w:rsidRPr="003144AD">
        <w:rPr>
          <w:rStyle w:val="ft8"/>
          <w:color w:val="000000"/>
          <w:sz w:val="28"/>
          <w:szCs w:val="28"/>
        </w:rPr>
        <w:t xml:space="preserve"> благодаря множественным сигнальным путям, в частности, экспрессии </w:t>
      </w:r>
      <w:r w:rsidRPr="003144AD">
        <w:rPr>
          <w:color w:val="000000"/>
          <w:sz w:val="28"/>
          <w:szCs w:val="28"/>
          <w:lang w:val="en-US"/>
        </w:rPr>
        <w:t>heat</w:t>
      </w:r>
      <w:r w:rsidRPr="003144AD">
        <w:rPr>
          <w:color w:val="000000"/>
          <w:sz w:val="28"/>
          <w:szCs w:val="28"/>
        </w:rPr>
        <w:t xml:space="preserve"> </w:t>
      </w:r>
      <w:r w:rsidRPr="003144AD">
        <w:rPr>
          <w:color w:val="000000"/>
          <w:sz w:val="28"/>
          <w:szCs w:val="28"/>
          <w:lang w:val="en-US"/>
        </w:rPr>
        <w:t>shock</w:t>
      </w:r>
      <w:r w:rsidRPr="003144AD">
        <w:rPr>
          <w:color w:val="000000"/>
          <w:sz w:val="28"/>
          <w:szCs w:val="28"/>
        </w:rPr>
        <w:t xml:space="preserve"> </w:t>
      </w:r>
      <w:r w:rsidRPr="003144AD">
        <w:rPr>
          <w:color w:val="000000"/>
          <w:sz w:val="28"/>
          <w:szCs w:val="28"/>
          <w:lang w:val="en-US"/>
        </w:rPr>
        <w:t>proteins</w:t>
      </w:r>
      <w:r w:rsidRPr="003144AD">
        <w:rPr>
          <w:color w:val="000000"/>
          <w:sz w:val="28"/>
          <w:szCs w:val="28"/>
        </w:rPr>
        <w:t xml:space="preserve"> (</w:t>
      </w:r>
      <w:r w:rsidRPr="003144AD">
        <w:rPr>
          <w:color w:val="000000"/>
          <w:sz w:val="28"/>
          <w:szCs w:val="28"/>
          <w:lang w:val="en-US"/>
        </w:rPr>
        <w:t>HSP</w:t>
      </w:r>
      <w:r w:rsidRPr="003144AD">
        <w:rPr>
          <w:color w:val="000000"/>
          <w:sz w:val="28"/>
          <w:szCs w:val="28"/>
        </w:rPr>
        <w:t xml:space="preserve">27 </w:t>
      </w:r>
      <w:r w:rsidRPr="003144AD">
        <w:rPr>
          <w:color w:val="000000"/>
          <w:sz w:val="28"/>
          <w:szCs w:val="28"/>
          <w:lang w:val="en-US"/>
        </w:rPr>
        <w:t>and</w:t>
      </w:r>
      <w:r w:rsidRPr="003144AD">
        <w:rPr>
          <w:color w:val="000000"/>
          <w:sz w:val="28"/>
          <w:szCs w:val="28"/>
        </w:rPr>
        <w:t xml:space="preserve"> </w:t>
      </w:r>
      <w:r w:rsidRPr="003144AD">
        <w:rPr>
          <w:color w:val="000000"/>
          <w:sz w:val="28"/>
          <w:szCs w:val="28"/>
          <w:lang w:val="en-US"/>
        </w:rPr>
        <w:t>HSP</w:t>
      </w:r>
      <w:r w:rsidRPr="003144AD">
        <w:rPr>
          <w:color w:val="000000"/>
          <w:sz w:val="28"/>
          <w:szCs w:val="28"/>
        </w:rPr>
        <w:t>70),</w:t>
      </w:r>
      <w:r w:rsidRPr="003144AD">
        <w:rPr>
          <w:color w:val="000000"/>
          <w:sz w:val="28"/>
          <w:szCs w:val="28"/>
        </w:rPr>
        <w:t xml:space="preserve"> молекулярных модуляторов. В настоящее время </w:t>
      </w:r>
      <w:proofErr w:type="spellStart"/>
      <w:r w:rsidRPr="003144AD">
        <w:rPr>
          <w:color w:val="000000"/>
          <w:sz w:val="28"/>
          <w:szCs w:val="28"/>
        </w:rPr>
        <w:t>Бициклол</w:t>
      </w:r>
      <w:proofErr w:type="spellEnd"/>
      <w:r w:rsidRPr="003144AD">
        <w:rPr>
          <w:color w:val="000000"/>
          <w:sz w:val="28"/>
          <w:szCs w:val="28"/>
        </w:rPr>
        <w:t xml:space="preserve"> – самый широко применяемый </w:t>
      </w:r>
      <w:proofErr w:type="spellStart"/>
      <w:r w:rsidRPr="003144AD">
        <w:rPr>
          <w:color w:val="000000"/>
          <w:sz w:val="28"/>
          <w:szCs w:val="28"/>
        </w:rPr>
        <w:t>гепатопротектор</w:t>
      </w:r>
      <w:proofErr w:type="spellEnd"/>
      <w:r w:rsidRPr="003144AD">
        <w:rPr>
          <w:color w:val="000000"/>
          <w:sz w:val="28"/>
          <w:szCs w:val="28"/>
        </w:rPr>
        <w:t xml:space="preserve"> в Китае, его механизм действия тесно связан со способностью </w:t>
      </w:r>
      <w:proofErr w:type="gramStart"/>
      <w:r w:rsidRPr="003144AD">
        <w:rPr>
          <w:color w:val="000000"/>
          <w:sz w:val="28"/>
          <w:szCs w:val="28"/>
        </w:rPr>
        <w:t>блокировать</w:t>
      </w:r>
      <w:proofErr w:type="gramEnd"/>
      <w:r w:rsidRPr="003144AD">
        <w:rPr>
          <w:color w:val="000000"/>
          <w:sz w:val="28"/>
          <w:szCs w:val="28"/>
        </w:rPr>
        <w:t xml:space="preserve"> свободные радикалы и ПОЛ, защищать мембрану клетки и митохондрий </w:t>
      </w:r>
      <w:r w:rsidRPr="003144AD">
        <w:rPr>
          <w:color w:val="000000"/>
          <w:sz w:val="28"/>
          <w:szCs w:val="28"/>
        </w:rPr>
        <w:t>[</w:t>
      </w:r>
      <w:r w:rsidRPr="003144AD">
        <w:rPr>
          <w:rStyle w:val="ft30"/>
          <w:color w:val="000000"/>
          <w:sz w:val="28"/>
          <w:szCs w:val="28"/>
        </w:rPr>
        <w:t>5</w:t>
      </w:r>
      <w:r w:rsidRPr="003144AD">
        <w:rPr>
          <w:color w:val="000000"/>
          <w:sz w:val="28"/>
          <w:szCs w:val="28"/>
        </w:rPr>
        <w:t>]</w:t>
      </w:r>
      <w:r w:rsidRPr="003144AD">
        <w:rPr>
          <w:color w:val="000000"/>
          <w:sz w:val="28"/>
          <w:szCs w:val="28"/>
        </w:rPr>
        <w:t xml:space="preserve">, подавлять экспрессию </w:t>
      </w:r>
      <w:proofErr w:type="spellStart"/>
      <w:r w:rsidRPr="003144AD">
        <w:rPr>
          <w:color w:val="000000"/>
          <w:sz w:val="28"/>
          <w:szCs w:val="28"/>
        </w:rPr>
        <w:t>провоспалительных</w:t>
      </w:r>
      <w:proofErr w:type="spellEnd"/>
      <w:r w:rsidRPr="003144AD">
        <w:rPr>
          <w:color w:val="000000"/>
          <w:sz w:val="28"/>
          <w:szCs w:val="28"/>
        </w:rPr>
        <w:t xml:space="preserve"> цитокинов </w:t>
      </w:r>
      <w:r w:rsidRPr="003144AD">
        <w:rPr>
          <w:color w:val="000000"/>
          <w:sz w:val="28"/>
          <w:szCs w:val="28"/>
        </w:rPr>
        <w:t>[11]</w:t>
      </w:r>
      <w:r w:rsidRPr="003144AD">
        <w:rPr>
          <w:color w:val="000000"/>
          <w:sz w:val="28"/>
          <w:szCs w:val="28"/>
        </w:rPr>
        <w:t xml:space="preserve">.     </w:t>
      </w:r>
    </w:p>
    <w:p w:rsidR="00B52AD1" w:rsidRPr="003144AD" w:rsidRDefault="006D60AA" w:rsidP="003146B5">
      <w:pPr>
        <w:pStyle w:val="p3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4AD">
        <w:rPr>
          <w:color w:val="000000"/>
          <w:sz w:val="28"/>
          <w:szCs w:val="28"/>
        </w:rPr>
        <w:t xml:space="preserve">Продолжительные исследования на различных моделях повреждения печени продемонстрировали, что </w:t>
      </w:r>
      <w:proofErr w:type="spellStart"/>
      <w:r w:rsidRPr="003144AD">
        <w:rPr>
          <w:color w:val="000000"/>
          <w:sz w:val="28"/>
          <w:szCs w:val="28"/>
        </w:rPr>
        <w:t>Бициклол</w:t>
      </w:r>
      <w:proofErr w:type="spellEnd"/>
      <w:r w:rsidRPr="003144AD">
        <w:rPr>
          <w:color w:val="000000"/>
          <w:sz w:val="28"/>
          <w:szCs w:val="28"/>
        </w:rPr>
        <w:t xml:space="preserve"> играет роль в элиминации свободных радикалов, предупреждении липидной </w:t>
      </w:r>
      <w:proofErr w:type="spellStart"/>
      <w:r w:rsidRPr="003144AD">
        <w:rPr>
          <w:color w:val="000000"/>
          <w:sz w:val="28"/>
          <w:szCs w:val="28"/>
        </w:rPr>
        <w:t>пероксидации</w:t>
      </w:r>
      <w:proofErr w:type="spellEnd"/>
      <w:r w:rsidRPr="003144AD">
        <w:rPr>
          <w:color w:val="000000"/>
          <w:sz w:val="28"/>
          <w:szCs w:val="28"/>
        </w:rPr>
        <w:t>, в защите мембраны клетки и митохондрии</w:t>
      </w:r>
      <w:r w:rsidR="00B52AD1" w:rsidRPr="003144AD">
        <w:rPr>
          <w:color w:val="000000"/>
          <w:sz w:val="28"/>
          <w:szCs w:val="28"/>
        </w:rPr>
        <w:t xml:space="preserve"> </w:t>
      </w:r>
      <w:r w:rsidR="00B52AD1" w:rsidRPr="003144AD">
        <w:rPr>
          <w:color w:val="000000"/>
          <w:sz w:val="28"/>
          <w:szCs w:val="28"/>
        </w:rPr>
        <w:t>[</w:t>
      </w:r>
      <w:r w:rsidR="00B52AD1" w:rsidRPr="003144AD">
        <w:rPr>
          <w:rStyle w:val="ft30"/>
          <w:color w:val="000000"/>
          <w:sz w:val="28"/>
          <w:szCs w:val="28"/>
        </w:rPr>
        <w:t>4</w:t>
      </w:r>
      <w:r w:rsidR="00B52AD1" w:rsidRPr="003144AD">
        <w:rPr>
          <w:color w:val="000000"/>
          <w:sz w:val="28"/>
          <w:szCs w:val="28"/>
        </w:rPr>
        <w:t xml:space="preserve">]. </w:t>
      </w:r>
      <w:proofErr w:type="spellStart"/>
      <w:r w:rsidR="00B52AD1" w:rsidRPr="003144AD">
        <w:rPr>
          <w:color w:val="000000"/>
          <w:sz w:val="28"/>
          <w:szCs w:val="28"/>
        </w:rPr>
        <w:t>Бициклол</w:t>
      </w:r>
      <w:proofErr w:type="spellEnd"/>
      <w:r w:rsidR="00B52AD1" w:rsidRPr="003144AD">
        <w:rPr>
          <w:color w:val="000000"/>
          <w:sz w:val="28"/>
          <w:szCs w:val="28"/>
        </w:rPr>
        <w:t xml:space="preserve"> способствует выработке </w:t>
      </w:r>
      <w:proofErr w:type="spellStart"/>
      <w:r w:rsidR="00B52AD1" w:rsidRPr="003144AD">
        <w:rPr>
          <w:color w:val="000000"/>
          <w:sz w:val="28"/>
          <w:szCs w:val="28"/>
        </w:rPr>
        <w:t>глутатиона</w:t>
      </w:r>
      <w:proofErr w:type="spellEnd"/>
      <w:r w:rsidR="00B52AD1" w:rsidRPr="003144AD">
        <w:rPr>
          <w:color w:val="000000"/>
          <w:sz w:val="28"/>
          <w:szCs w:val="28"/>
        </w:rPr>
        <w:t xml:space="preserve"> и </w:t>
      </w:r>
      <w:proofErr w:type="spellStart"/>
      <w:r w:rsidR="00B52AD1" w:rsidRPr="003144AD">
        <w:rPr>
          <w:color w:val="000000"/>
          <w:sz w:val="28"/>
          <w:szCs w:val="28"/>
        </w:rPr>
        <w:t>глутатион</w:t>
      </w:r>
      <w:proofErr w:type="spellEnd"/>
      <w:r w:rsidR="00B52AD1" w:rsidRPr="003144AD">
        <w:rPr>
          <w:color w:val="000000"/>
          <w:sz w:val="28"/>
          <w:szCs w:val="28"/>
        </w:rPr>
        <w:t>-</w:t>
      </w:r>
      <w:proofErr w:type="gramStart"/>
      <w:r w:rsidR="00B52AD1" w:rsidRPr="003144AD">
        <w:rPr>
          <w:color w:val="000000"/>
          <w:sz w:val="28"/>
          <w:szCs w:val="28"/>
          <w:lang w:val="en-US"/>
        </w:rPr>
        <w:t>S</w:t>
      </w:r>
      <w:proofErr w:type="gramEnd"/>
      <w:r w:rsidR="00B52AD1" w:rsidRPr="003144AD">
        <w:rPr>
          <w:color w:val="000000"/>
          <w:sz w:val="28"/>
          <w:szCs w:val="28"/>
        </w:rPr>
        <w:t>-</w:t>
      </w:r>
      <w:proofErr w:type="spellStart"/>
      <w:r w:rsidR="00B52AD1" w:rsidRPr="003144AD">
        <w:rPr>
          <w:color w:val="000000"/>
          <w:sz w:val="28"/>
          <w:szCs w:val="28"/>
        </w:rPr>
        <w:t>трансферазы</w:t>
      </w:r>
      <w:proofErr w:type="spellEnd"/>
      <w:r w:rsidR="00B52AD1" w:rsidRPr="003144AD">
        <w:rPr>
          <w:color w:val="000000"/>
          <w:sz w:val="28"/>
          <w:szCs w:val="28"/>
        </w:rPr>
        <w:t xml:space="preserve"> и тормозит аккумуляцию липидов в печени </w:t>
      </w:r>
      <w:r w:rsidR="00B52AD1" w:rsidRPr="003144AD">
        <w:rPr>
          <w:color w:val="000000"/>
          <w:sz w:val="28"/>
          <w:szCs w:val="28"/>
        </w:rPr>
        <w:t>[</w:t>
      </w:r>
      <w:r w:rsidR="00B52AD1" w:rsidRPr="003144AD">
        <w:rPr>
          <w:rStyle w:val="ft30"/>
          <w:color w:val="000000"/>
          <w:sz w:val="28"/>
          <w:szCs w:val="28"/>
        </w:rPr>
        <w:t>7</w:t>
      </w:r>
      <w:r w:rsidR="00B52AD1" w:rsidRPr="003144AD">
        <w:rPr>
          <w:color w:val="000000"/>
          <w:sz w:val="28"/>
          <w:szCs w:val="28"/>
        </w:rPr>
        <w:t>].</w:t>
      </w:r>
      <w:r w:rsidR="00B52AD1" w:rsidRPr="003144AD">
        <w:rPr>
          <w:color w:val="000000"/>
          <w:sz w:val="28"/>
          <w:szCs w:val="28"/>
        </w:rPr>
        <w:t xml:space="preserve"> </w:t>
      </w:r>
    </w:p>
    <w:p w:rsidR="00B52AD1" w:rsidRPr="003144AD" w:rsidRDefault="00B52AD1" w:rsidP="003146B5">
      <w:pPr>
        <w:pStyle w:val="p3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4AD">
        <w:rPr>
          <w:color w:val="000000"/>
          <w:sz w:val="28"/>
          <w:szCs w:val="28"/>
        </w:rPr>
        <w:t xml:space="preserve">Клинические исследования продемонстрировали эффективность </w:t>
      </w:r>
      <w:proofErr w:type="spellStart"/>
      <w:r w:rsidRPr="003144AD">
        <w:rPr>
          <w:color w:val="000000"/>
          <w:sz w:val="28"/>
          <w:szCs w:val="28"/>
        </w:rPr>
        <w:t>Бициклола</w:t>
      </w:r>
      <w:proofErr w:type="spellEnd"/>
      <w:r w:rsidRPr="003144AD">
        <w:rPr>
          <w:color w:val="000000"/>
          <w:sz w:val="28"/>
          <w:szCs w:val="28"/>
        </w:rPr>
        <w:t xml:space="preserve"> в отношении нормализации печеночных функций и гистологических показателей активности при НАЖБП </w:t>
      </w:r>
      <w:r w:rsidRPr="003144AD">
        <w:rPr>
          <w:color w:val="000000"/>
          <w:sz w:val="28"/>
          <w:szCs w:val="28"/>
        </w:rPr>
        <w:t>[</w:t>
      </w:r>
      <w:r w:rsidRPr="003144AD">
        <w:rPr>
          <w:rStyle w:val="ft31"/>
          <w:color w:val="000000"/>
          <w:sz w:val="28"/>
          <w:szCs w:val="28"/>
        </w:rPr>
        <w:t>9</w:t>
      </w:r>
      <w:r w:rsidRPr="003144AD">
        <w:rPr>
          <w:color w:val="000000"/>
          <w:sz w:val="28"/>
          <w:szCs w:val="28"/>
        </w:rPr>
        <w:t>],</w:t>
      </w:r>
      <w:r w:rsidRPr="003144AD">
        <w:rPr>
          <w:color w:val="000000"/>
          <w:sz w:val="28"/>
          <w:szCs w:val="28"/>
        </w:rPr>
        <w:t xml:space="preserve"> уменьшения </w:t>
      </w:r>
      <w:r w:rsidRPr="003144AD">
        <w:rPr>
          <w:color w:val="000000"/>
          <w:sz w:val="28"/>
          <w:szCs w:val="28"/>
        </w:rPr>
        <w:lastRenderedPageBreak/>
        <w:t>воспаления и некроза при хроническом гепатите</w:t>
      </w:r>
      <w:proofErr w:type="gramStart"/>
      <w:r w:rsidR="00637BD2" w:rsidRPr="003144AD">
        <w:rPr>
          <w:color w:val="000000"/>
          <w:sz w:val="28"/>
          <w:szCs w:val="28"/>
        </w:rPr>
        <w:t xml:space="preserve"> </w:t>
      </w:r>
      <w:r w:rsidRPr="003144AD">
        <w:rPr>
          <w:color w:val="000000"/>
          <w:sz w:val="28"/>
          <w:szCs w:val="28"/>
        </w:rPr>
        <w:t>В</w:t>
      </w:r>
      <w:proofErr w:type="gramEnd"/>
      <w:r w:rsidRPr="003144AD">
        <w:rPr>
          <w:color w:val="000000"/>
          <w:sz w:val="28"/>
          <w:szCs w:val="28"/>
        </w:rPr>
        <w:t xml:space="preserve"> без какого-либо негативного влияния на терапевтический эффект противовирусных агентов </w:t>
      </w:r>
      <w:r w:rsidRPr="003144AD">
        <w:rPr>
          <w:color w:val="000000"/>
          <w:sz w:val="28"/>
          <w:szCs w:val="28"/>
        </w:rPr>
        <w:t>[</w:t>
      </w:r>
      <w:r w:rsidRPr="003144AD">
        <w:rPr>
          <w:rStyle w:val="ft32"/>
          <w:color w:val="000000"/>
          <w:sz w:val="28"/>
          <w:szCs w:val="28"/>
        </w:rPr>
        <w:t>12</w:t>
      </w:r>
      <w:r w:rsidRPr="003144AD">
        <w:rPr>
          <w:color w:val="000000"/>
          <w:sz w:val="28"/>
          <w:szCs w:val="28"/>
        </w:rPr>
        <w:t xml:space="preserve">]. </w:t>
      </w:r>
      <w:r w:rsidRPr="003144AD">
        <w:rPr>
          <w:color w:val="000000"/>
          <w:sz w:val="28"/>
          <w:szCs w:val="28"/>
        </w:rPr>
        <w:t xml:space="preserve"> </w:t>
      </w:r>
    </w:p>
    <w:p w:rsidR="000350FA" w:rsidRPr="003144AD" w:rsidRDefault="000350FA" w:rsidP="003146B5">
      <w:pPr>
        <w:pStyle w:val="p3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4AD">
        <w:rPr>
          <w:color w:val="000000"/>
          <w:sz w:val="28"/>
          <w:szCs w:val="28"/>
        </w:rPr>
        <w:t xml:space="preserve">В доклинических и клинических исследованиях также было продемонстрировано, что </w:t>
      </w:r>
      <w:proofErr w:type="spellStart"/>
      <w:r w:rsidRPr="003144AD">
        <w:rPr>
          <w:color w:val="000000"/>
          <w:sz w:val="28"/>
          <w:szCs w:val="28"/>
        </w:rPr>
        <w:t>Бициклол</w:t>
      </w:r>
      <w:proofErr w:type="spellEnd"/>
      <w:r w:rsidRPr="003144AD">
        <w:rPr>
          <w:color w:val="000000"/>
          <w:sz w:val="28"/>
          <w:szCs w:val="28"/>
        </w:rPr>
        <w:t xml:space="preserve"> способен не только уменьшать уровень активности </w:t>
      </w:r>
      <w:proofErr w:type="spellStart"/>
      <w:r w:rsidRPr="003144AD">
        <w:rPr>
          <w:color w:val="000000"/>
          <w:sz w:val="28"/>
          <w:szCs w:val="28"/>
        </w:rPr>
        <w:t>трансаминаз</w:t>
      </w:r>
      <w:proofErr w:type="spellEnd"/>
      <w:r w:rsidR="001D058E" w:rsidRPr="003144AD">
        <w:rPr>
          <w:color w:val="000000"/>
          <w:sz w:val="28"/>
          <w:szCs w:val="28"/>
        </w:rPr>
        <w:t xml:space="preserve"> сыворотки, но также приводить к уменьшению патологических изменений </w:t>
      </w:r>
      <w:r w:rsidR="001D058E" w:rsidRPr="003144AD">
        <w:rPr>
          <w:color w:val="000000"/>
          <w:sz w:val="28"/>
          <w:szCs w:val="28"/>
        </w:rPr>
        <w:t>[</w:t>
      </w:r>
      <w:r w:rsidR="001D058E" w:rsidRPr="003144AD">
        <w:rPr>
          <w:rStyle w:val="ft30"/>
          <w:color w:val="000000"/>
          <w:sz w:val="28"/>
          <w:szCs w:val="28"/>
        </w:rPr>
        <w:t>7</w:t>
      </w:r>
      <w:r w:rsidR="001D058E" w:rsidRPr="003144AD">
        <w:rPr>
          <w:color w:val="000000"/>
          <w:sz w:val="28"/>
          <w:szCs w:val="28"/>
        </w:rPr>
        <w:t>,</w:t>
      </w:r>
      <w:r w:rsidR="001D058E" w:rsidRPr="003144AD">
        <w:rPr>
          <w:rStyle w:val="apple-converted-space"/>
          <w:color w:val="000000"/>
          <w:sz w:val="28"/>
          <w:szCs w:val="28"/>
          <w:lang w:val="en-US"/>
        </w:rPr>
        <w:t> </w:t>
      </w:r>
      <w:r w:rsidR="001D058E" w:rsidRPr="003144AD">
        <w:rPr>
          <w:rStyle w:val="ft32"/>
          <w:color w:val="000000"/>
          <w:sz w:val="28"/>
          <w:szCs w:val="28"/>
        </w:rPr>
        <w:t>12</w:t>
      </w:r>
      <w:r w:rsidR="001D058E" w:rsidRPr="003144AD">
        <w:rPr>
          <w:color w:val="000000"/>
          <w:sz w:val="28"/>
          <w:szCs w:val="28"/>
        </w:rPr>
        <w:t>].</w:t>
      </w:r>
      <w:r w:rsidR="001D058E" w:rsidRPr="003144AD">
        <w:rPr>
          <w:color w:val="000000"/>
          <w:sz w:val="28"/>
          <w:szCs w:val="28"/>
        </w:rPr>
        <w:t xml:space="preserve"> </w:t>
      </w:r>
      <w:proofErr w:type="gramStart"/>
      <w:r w:rsidR="001D058E" w:rsidRPr="003144AD">
        <w:rPr>
          <w:color w:val="000000"/>
          <w:sz w:val="28"/>
          <w:szCs w:val="28"/>
          <w:lang w:val="en-US"/>
        </w:rPr>
        <w:t>Zhao</w:t>
      </w:r>
      <w:r w:rsidR="001D058E" w:rsidRPr="003144AD">
        <w:rPr>
          <w:color w:val="000000"/>
          <w:sz w:val="28"/>
          <w:szCs w:val="28"/>
        </w:rPr>
        <w:t xml:space="preserve"> </w:t>
      </w:r>
      <w:r w:rsidR="001D058E" w:rsidRPr="003144AD">
        <w:rPr>
          <w:color w:val="000000"/>
          <w:sz w:val="28"/>
          <w:szCs w:val="28"/>
          <w:lang w:val="en-US"/>
        </w:rPr>
        <w:t>et</w:t>
      </w:r>
      <w:r w:rsidR="001D058E" w:rsidRPr="003144AD">
        <w:rPr>
          <w:color w:val="000000"/>
          <w:sz w:val="28"/>
          <w:szCs w:val="28"/>
        </w:rPr>
        <w:t xml:space="preserve"> </w:t>
      </w:r>
      <w:r w:rsidR="001D058E" w:rsidRPr="003144AD">
        <w:rPr>
          <w:color w:val="000000"/>
          <w:sz w:val="28"/>
          <w:szCs w:val="28"/>
          <w:lang w:val="en-US"/>
        </w:rPr>
        <w:t>al</w:t>
      </w:r>
      <w:r w:rsidR="001D058E" w:rsidRPr="003144AD">
        <w:rPr>
          <w:color w:val="000000"/>
          <w:sz w:val="28"/>
          <w:szCs w:val="28"/>
        </w:rPr>
        <w:t>.</w:t>
      </w:r>
      <w:r w:rsidR="001D058E" w:rsidRPr="003144AD">
        <w:rPr>
          <w:color w:val="000000"/>
          <w:sz w:val="28"/>
          <w:szCs w:val="28"/>
        </w:rPr>
        <w:t xml:space="preserve"> </w:t>
      </w:r>
      <w:r w:rsidR="001D058E" w:rsidRPr="003144AD">
        <w:rPr>
          <w:color w:val="000000"/>
          <w:sz w:val="28"/>
          <w:szCs w:val="28"/>
        </w:rPr>
        <w:t>[</w:t>
      </w:r>
      <w:r w:rsidR="001D058E" w:rsidRPr="003144AD">
        <w:rPr>
          <w:rStyle w:val="ft31"/>
          <w:color w:val="000000"/>
          <w:sz w:val="28"/>
          <w:szCs w:val="28"/>
        </w:rPr>
        <w:t>14</w:t>
      </w:r>
      <w:r w:rsidR="001D058E" w:rsidRPr="003144AD">
        <w:rPr>
          <w:color w:val="000000"/>
          <w:sz w:val="28"/>
          <w:szCs w:val="28"/>
        </w:rPr>
        <w:t xml:space="preserve">] </w:t>
      </w:r>
      <w:r w:rsidR="001D058E" w:rsidRPr="003144AD">
        <w:rPr>
          <w:color w:val="000000"/>
          <w:sz w:val="28"/>
          <w:szCs w:val="28"/>
        </w:rPr>
        <w:t xml:space="preserve">установили, что благоприятный эффект </w:t>
      </w:r>
      <w:proofErr w:type="spellStart"/>
      <w:r w:rsidR="001D058E" w:rsidRPr="003144AD">
        <w:rPr>
          <w:color w:val="000000"/>
          <w:sz w:val="28"/>
          <w:szCs w:val="28"/>
        </w:rPr>
        <w:t>Бициклола</w:t>
      </w:r>
      <w:proofErr w:type="spellEnd"/>
      <w:r w:rsidR="001D058E" w:rsidRPr="003144AD">
        <w:rPr>
          <w:color w:val="000000"/>
          <w:sz w:val="28"/>
          <w:szCs w:val="28"/>
        </w:rPr>
        <w:t xml:space="preserve"> на воспалительную активность в ткани печени реализуется в основном благодаря уменьшению окислительного стресса, подавлению экспрессии </w:t>
      </w:r>
      <w:proofErr w:type="spellStart"/>
      <w:r w:rsidR="001D058E" w:rsidRPr="003144AD">
        <w:rPr>
          <w:color w:val="000000"/>
          <w:sz w:val="28"/>
          <w:szCs w:val="28"/>
        </w:rPr>
        <w:t>провоспалительных</w:t>
      </w:r>
      <w:proofErr w:type="spellEnd"/>
      <w:r w:rsidR="001D058E" w:rsidRPr="003144AD">
        <w:rPr>
          <w:color w:val="000000"/>
          <w:sz w:val="28"/>
          <w:szCs w:val="28"/>
        </w:rPr>
        <w:t xml:space="preserve"> цитокинов, таких как фактор некроза опухоли (</w:t>
      </w:r>
      <w:r w:rsidR="001D058E" w:rsidRPr="003144AD">
        <w:rPr>
          <w:sz w:val="28"/>
          <w:szCs w:val="28"/>
          <w:lang w:val="en-US"/>
        </w:rPr>
        <w:t>TNF</w:t>
      </w:r>
      <w:r w:rsidR="001D058E" w:rsidRPr="003144AD">
        <w:rPr>
          <w:sz w:val="28"/>
          <w:szCs w:val="28"/>
        </w:rPr>
        <w:t>-</w:t>
      </w:r>
      <w:r w:rsidR="001D058E" w:rsidRPr="003144AD">
        <w:rPr>
          <w:sz w:val="28"/>
          <w:szCs w:val="28"/>
          <w:lang w:val="en-US"/>
        </w:rPr>
        <w:t>a</w:t>
      </w:r>
      <w:r w:rsidR="001D058E" w:rsidRPr="003144AD">
        <w:rPr>
          <w:sz w:val="28"/>
          <w:szCs w:val="28"/>
        </w:rPr>
        <w:t xml:space="preserve">) и </w:t>
      </w:r>
      <w:proofErr w:type="spellStart"/>
      <w:r w:rsidR="001D058E" w:rsidRPr="003144AD">
        <w:rPr>
          <w:sz w:val="28"/>
          <w:szCs w:val="28"/>
        </w:rPr>
        <w:t>интерлейкин</w:t>
      </w:r>
      <w:proofErr w:type="spellEnd"/>
      <w:r w:rsidR="001D058E" w:rsidRPr="003144AD">
        <w:rPr>
          <w:sz w:val="28"/>
          <w:szCs w:val="28"/>
        </w:rPr>
        <w:t xml:space="preserve"> 6 (</w:t>
      </w:r>
      <w:r w:rsidR="001D058E" w:rsidRPr="003144AD">
        <w:rPr>
          <w:sz w:val="28"/>
          <w:szCs w:val="28"/>
          <w:lang w:val="en-US"/>
        </w:rPr>
        <w:t>IL</w:t>
      </w:r>
      <w:r w:rsidR="001D058E" w:rsidRPr="003144AD">
        <w:rPr>
          <w:sz w:val="28"/>
          <w:szCs w:val="28"/>
        </w:rPr>
        <w:t>-6).</w:t>
      </w:r>
      <w:proofErr w:type="gramEnd"/>
      <w:r w:rsidR="001D058E" w:rsidRPr="003144AD">
        <w:rPr>
          <w:sz w:val="28"/>
          <w:szCs w:val="28"/>
        </w:rPr>
        <w:t xml:space="preserve">  </w:t>
      </w:r>
      <w:r w:rsidR="001D058E" w:rsidRPr="003144AD">
        <w:rPr>
          <w:color w:val="000000"/>
          <w:sz w:val="28"/>
          <w:szCs w:val="28"/>
        </w:rPr>
        <w:t xml:space="preserve">   </w:t>
      </w:r>
    </w:p>
    <w:p w:rsidR="00E03A72" w:rsidRPr="003144AD" w:rsidRDefault="00E03A72" w:rsidP="003146B5">
      <w:pPr>
        <w:pStyle w:val="p8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4AD">
        <w:rPr>
          <w:color w:val="000000"/>
          <w:sz w:val="28"/>
          <w:szCs w:val="28"/>
        </w:rPr>
        <w:t xml:space="preserve">Многочисленные базовые исследования </w:t>
      </w:r>
      <w:r w:rsidRPr="003144AD">
        <w:rPr>
          <w:color w:val="000000"/>
          <w:sz w:val="28"/>
          <w:szCs w:val="28"/>
          <w:lang w:val="en-US"/>
        </w:rPr>
        <w:t>in</w:t>
      </w:r>
      <w:r w:rsidRPr="003144AD">
        <w:rPr>
          <w:color w:val="000000"/>
          <w:sz w:val="28"/>
          <w:szCs w:val="28"/>
        </w:rPr>
        <w:t xml:space="preserve"> </w:t>
      </w:r>
      <w:r w:rsidRPr="003144AD">
        <w:rPr>
          <w:color w:val="000000"/>
          <w:sz w:val="28"/>
          <w:szCs w:val="28"/>
          <w:lang w:val="en-US"/>
        </w:rPr>
        <w:t>vitro</w:t>
      </w:r>
      <w:r w:rsidRPr="003144AD">
        <w:rPr>
          <w:color w:val="000000"/>
          <w:sz w:val="28"/>
          <w:szCs w:val="28"/>
        </w:rPr>
        <w:t xml:space="preserve"> &amp; </w:t>
      </w:r>
      <w:r w:rsidRPr="003144AD">
        <w:rPr>
          <w:color w:val="000000"/>
          <w:sz w:val="28"/>
          <w:szCs w:val="28"/>
          <w:lang w:val="en-US"/>
        </w:rPr>
        <w:t>in</w:t>
      </w:r>
      <w:r w:rsidRPr="003144AD">
        <w:rPr>
          <w:color w:val="000000"/>
          <w:sz w:val="28"/>
          <w:szCs w:val="28"/>
        </w:rPr>
        <w:t xml:space="preserve"> </w:t>
      </w:r>
      <w:r w:rsidRPr="003144AD">
        <w:rPr>
          <w:color w:val="000000"/>
          <w:sz w:val="28"/>
          <w:szCs w:val="28"/>
          <w:lang w:val="en-US"/>
        </w:rPr>
        <w:t>vivo</w:t>
      </w:r>
      <w:r w:rsidRPr="003144AD">
        <w:rPr>
          <w:color w:val="000000"/>
          <w:sz w:val="28"/>
          <w:szCs w:val="28"/>
        </w:rPr>
        <w:t xml:space="preserve"> доказали, что </w:t>
      </w:r>
      <w:proofErr w:type="spellStart"/>
      <w:r w:rsidRPr="003144AD">
        <w:rPr>
          <w:color w:val="000000"/>
          <w:sz w:val="28"/>
          <w:szCs w:val="28"/>
        </w:rPr>
        <w:t>Бициклол</w:t>
      </w:r>
      <w:proofErr w:type="spellEnd"/>
      <w:r w:rsidRPr="003144AD">
        <w:rPr>
          <w:color w:val="000000"/>
          <w:sz w:val="28"/>
          <w:szCs w:val="28"/>
        </w:rPr>
        <w:t xml:space="preserve"> действует сразу в нескольких направлениях (мультифокально), в частности, поддерживает стабильность </w:t>
      </w:r>
      <w:proofErr w:type="spellStart"/>
      <w:r w:rsidRPr="003144AD">
        <w:rPr>
          <w:color w:val="000000"/>
          <w:sz w:val="28"/>
          <w:szCs w:val="28"/>
        </w:rPr>
        <w:t>биомембран</w:t>
      </w:r>
      <w:proofErr w:type="spellEnd"/>
      <w:r w:rsidRPr="003144AD">
        <w:rPr>
          <w:color w:val="000000"/>
          <w:sz w:val="28"/>
          <w:szCs w:val="28"/>
        </w:rPr>
        <w:t xml:space="preserve"> </w:t>
      </w:r>
      <w:proofErr w:type="spellStart"/>
      <w:r w:rsidRPr="003144AD">
        <w:rPr>
          <w:color w:val="000000"/>
          <w:sz w:val="28"/>
          <w:szCs w:val="28"/>
        </w:rPr>
        <w:t>гепатоцитов</w:t>
      </w:r>
      <w:proofErr w:type="spellEnd"/>
      <w:r w:rsidRPr="003144AD">
        <w:rPr>
          <w:color w:val="000000"/>
          <w:sz w:val="28"/>
          <w:szCs w:val="28"/>
        </w:rPr>
        <w:t xml:space="preserve"> путем элиминации свободных радикалов, защищает митохондрии от разрушения путем подавления высвобождения </w:t>
      </w:r>
      <w:proofErr w:type="spellStart"/>
      <w:r w:rsidRPr="003144AD">
        <w:rPr>
          <w:color w:val="000000"/>
          <w:sz w:val="28"/>
          <w:szCs w:val="28"/>
        </w:rPr>
        <w:t>Цитохрома</w:t>
      </w:r>
      <w:proofErr w:type="spellEnd"/>
      <w:proofErr w:type="gramStart"/>
      <w:r w:rsidRPr="003144AD">
        <w:rPr>
          <w:color w:val="000000"/>
          <w:sz w:val="28"/>
          <w:szCs w:val="28"/>
        </w:rPr>
        <w:t xml:space="preserve"> С</w:t>
      </w:r>
      <w:proofErr w:type="gramEnd"/>
      <w:r w:rsidRPr="003144AD">
        <w:rPr>
          <w:color w:val="000000"/>
          <w:sz w:val="28"/>
          <w:szCs w:val="28"/>
        </w:rPr>
        <w:t xml:space="preserve">, тем самым предупреждая </w:t>
      </w:r>
      <w:proofErr w:type="spellStart"/>
      <w:r w:rsidRPr="003144AD">
        <w:rPr>
          <w:color w:val="000000"/>
          <w:sz w:val="28"/>
          <w:szCs w:val="28"/>
        </w:rPr>
        <w:t>апоптоз</w:t>
      </w:r>
      <w:proofErr w:type="spellEnd"/>
      <w:r w:rsidRPr="003144AD">
        <w:rPr>
          <w:color w:val="000000"/>
          <w:sz w:val="28"/>
          <w:szCs w:val="28"/>
        </w:rPr>
        <w:t xml:space="preserve">, защищает </w:t>
      </w:r>
      <w:r w:rsidR="00223F3E" w:rsidRPr="003144AD">
        <w:rPr>
          <w:color w:val="000000"/>
          <w:sz w:val="28"/>
          <w:szCs w:val="28"/>
        </w:rPr>
        <w:t xml:space="preserve">ядерную ДНК </w:t>
      </w:r>
      <w:proofErr w:type="spellStart"/>
      <w:r w:rsidRPr="003144AD">
        <w:rPr>
          <w:color w:val="000000"/>
          <w:sz w:val="28"/>
          <w:szCs w:val="28"/>
        </w:rPr>
        <w:t>гепатоцита</w:t>
      </w:r>
      <w:proofErr w:type="spellEnd"/>
      <w:r w:rsidRPr="003144AD">
        <w:rPr>
          <w:color w:val="000000"/>
          <w:sz w:val="28"/>
          <w:szCs w:val="28"/>
        </w:rPr>
        <w:t xml:space="preserve"> от разрушения</w:t>
      </w:r>
      <w:r w:rsidR="00223F3E" w:rsidRPr="003144AD">
        <w:rPr>
          <w:color w:val="000000"/>
          <w:sz w:val="28"/>
          <w:szCs w:val="28"/>
        </w:rPr>
        <w:t xml:space="preserve">. Все перечисленные эффекты </w:t>
      </w:r>
      <w:proofErr w:type="spellStart"/>
      <w:r w:rsidR="00223F3E" w:rsidRPr="003144AD">
        <w:rPr>
          <w:color w:val="000000"/>
          <w:sz w:val="28"/>
          <w:szCs w:val="28"/>
        </w:rPr>
        <w:t>Бициклола</w:t>
      </w:r>
      <w:proofErr w:type="spellEnd"/>
      <w:r w:rsidR="00223F3E" w:rsidRPr="003144AD">
        <w:rPr>
          <w:color w:val="000000"/>
          <w:sz w:val="28"/>
          <w:szCs w:val="28"/>
        </w:rPr>
        <w:t xml:space="preserve"> фармакологически обосновывают его применение при хронических вирусных гепатитах</w:t>
      </w:r>
      <w:proofErr w:type="gramStart"/>
      <w:r w:rsidR="00223F3E" w:rsidRPr="003144AD">
        <w:rPr>
          <w:color w:val="000000"/>
          <w:sz w:val="28"/>
          <w:szCs w:val="28"/>
        </w:rPr>
        <w:t xml:space="preserve"> В</w:t>
      </w:r>
      <w:proofErr w:type="gramEnd"/>
      <w:r w:rsidR="00223F3E" w:rsidRPr="003144AD">
        <w:rPr>
          <w:color w:val="000000"/>
          <w:sz w:val="28"/>
          <w:szCs w:val="28"/>
        </w:rPr>
        <w:t xml:space="preserve"> и С, гепатитах невирусной этиологии, таких как неалкогольная жировая болезнь печени (НАЖБП), алкогольная болезнь печени (АБП), токсические (лекарственные) гепатиты </w:t>
      </w:r>
      <w:r w:rsidR="00223F3E" w:rsidRPr="003144AD">
        <w:rPr>
          <w:color w:val="000000"/>
          <w:sz w:val="28"/>
          <w:szCs w:val="28"/>
        </w:rPr>
        <w:t>[</w:t>
      </w:r>
      <w:r w:rsidR="00223F3E" w:rsidRPr="003144AD">
        <w:rPr>
          <w:rStyle w:val="ft30"/>
          <w:color w:val="000000"/>
          <w:sz w:val="28"/>
          <w:szCs w:val="28"/>
        </w:rPr>
        <w:t>4</w:t>
      </w:r>
      <w:r w:rsidR="00223F3E" w:rsidRPr="003144AD">
        <w:rPr>
          <w:color w:val="000000"/>
          <w:sz w:val="28"/>
          <w:szCs w:val="28"/>
        </w:rPr>
        <w:t xml:space="preserve">]. </w:t>
      </w:r>
      <w:r w:rsidR="00223F3E" w:rsidRPr="003144AD">
        <w:rPr>
          <w:color w:val="000000"/>
          <w:sz w:val="28"/>
          <w:szCs w:val="28"/>
        </w:rPr>
        <w:t xml:space="preserve"> </w:t>
      </w:r>
      <w:r w:rsidRPr="003144AD">
        <w:rPr>
          <w:color w:val="000000"/>
          <w:sz w:val="28"/>
          <w:szCs w:val="28"/>
        </w:rPr>
        <w:t xml:space="preserve">     </w:t>
      </w:r>
    </w:p>
    <w:p w:rsidR="0046733D" w:rsidRPr="003144AD" w:rsidRDefault="0046733D" w:rsidP="0046733D">
      <w:pPr>
        <w:pStyle w:val="3"/>
        <w:spacing w:line="360" w:lineRule="auto"/>
        <w:ind w:firstLine="709"/>
        <w:rPr>
          <w:sz w:val="28"/>
          <w:szCs w:val="28"/>
        </w:rPr>
      </w:pPr>
      <w:r w:rsidRPr="003144AD">
        <w:rPr>
          <w:b/>
          <w:color w:val="000000"/>
          <w:sz w:val="28"/>
          <w:szCs w:val="28"/>
        </w:rPr>
        <w:t>Целью</w:t>
      </w:r>
      <w:r w:rsidRPr="003144AD">
        <w:rPr>
          <w:color w:val="000000"/>
          <w:sz w:val="28"/>
          <w:szCs w:val="28"/>
        </w:rPr>
        <w:t xml:space="preserve"> </w:t>
      </w:r>
      <w:r w:rsidRPr="003144AD">
        <w:rPr>
          <w:b/>
          <w:color w:val="000000"/>
          <w:sz w:val="28"/>
          <w:szCs w:val="28"/>
        </w:rPr>
        <w:t>исследования</w:t>
      </w:r>
      <w:r w:rsidRPr="003144AD">
        <w:rPr>
          <w:color w:val="000000"/>
          <w:sz w:val="28"/>
          <w:szCs w:val="28"/>
        </w:rPr>
        <w:t xml:space="preserve"> явилась </w:t>
      </w:r>
      <w:r w:rsidRPr="003144AD">
        <w:rPr>
          <w:bCs/>
          <w:color w:val="000000"/>
          <w:spacing w:val="-2"/>
          <w:sz w:val="28"/>
          <w:szCs w:val="28"/>
        </w:rPr>
        <w:t xml:space="preserve">оценка эффективности и безопасности лекарственного препарата </w:t>
      </w:r>
      <w:proofErr w:type="spellStart"/>
      <w:r w:rsidRPr="003144AD">
        <w:rPr>
          <w:bCs/>
          <w:color w:val="000000"/>
          <w:spacing w:val="-2"/>
          <w:sz w:val="28"/>
          <w:szCs w:val="28"/>
        </w:rPr>
        <w:t>Бициклол</w:t>
      </w:r>
      <w:proofErr w:type="spellEnd"/>
      <w:r w:rsidRPr="003144AD">
        <w:rPr>
          <w:bCs/>
          <w:color w:val="000000"/>
          <w:spacing w:val="-2"/>
          <w:sz w:val="28"/>
          <w:szCs w:val="28"/>
        </w:rPr>
        <w:t xml:space="preserve"> в лекарственной форме таблетки 25 мг </w:t>
      </w:r>
      <w:r w:rsidRPr="003144AD">
        <w:rPr>
          <w:bCs/>
          <w:color w:val="000000"/>
          <w:spacing w:val="-3"/>
          <w:sz w:val="28"/>
          <w:szCs w:val="28"/>
        </w:rPr>
        <w:t>у взрослых пациентов с диагнозом хронический вирусный гепатит С</w:t>
      </w:r>
      <w:r w:rsidRPr="003144AD">
        <w:rPr>
          <w:bCs/>
          <w:sz w:val="28"/>
          <w:szCs w:val="28"/>
        </w:rPr>
        <w:t>.</w:t>
      </w:r>
    </w:p>
    <w:p w:rsidR="00F81CAA" w:rsidRPr="003144AD" w:rsidRDefault="00F81CAA" w:rsidP="004673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144AD">
        <w:rPr>
          <w:b/>
          <w:sz w:val="28"/>
          <w:szCs w:val="28"/>
        </w:rPr>
        <w:t>Материалы и методы.</w:t>
      </w:r>
    </w:p>
    <w:p w:rsidR="001648FF" w:rsidRPr="003144AD" w:rsidRDefault="0046733D" w:rsidP="0046733D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44AD">
        <w:rPr>
          <w:rFonts w:ascii="Times New Roman" w:hAnsi="Times New Roman"/>
          <w:bCs/>
          <w:sz w:val="28"/>
          <w:szCs w:val="28"/>
          <w:lang w:val="ru-RU"/>
        </w:rPr>
        <w:t>В «С</w:t>
      </w:r>
      <w:r w:rsidRPr="003144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равнительное </w:t>
      </w:r>
      <w:proofErr w:type="spellStart"/>
      <w:r w:rsidRPr="003144AD">
        <w:rPr>
          <w:rFonts w:ascii="Times New Roman" w:hAnsi="Times New Roman"/>
          <w:bCs/>
          <w:color w:val="000000"/>
          <w:sz w:val="28"/>
          <w:szCs w:val="28"/>
          <w:lang w:val="ru-RU"/>
        </w:rPr>
        <w:t>рандомизированное</w:t>
      </w:r>
      <w:proofErr w:type="spellEnd"/>
      <w:r w:rsidRPr="003144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двойное слепое плацебо-контролируемое исследование эффективности и безопасности препарата </w:t>
      </w:r>
      <w:proofErr w:type="spellStart"/>
      <w:r w:rsidRPr="003144AD">
        <w:rPr>
          <w:rFonts w:ascii="Times New Roman" w:hAnsi="Times New Roman"/>
          <w:bCs/>
          <w:color w:val="000000"/>
          <w:sz w:val="28"/>
          <w:szCs w:val="28"/>
          <w:lang w:val="ru-RU"/>
        </w:rPr>
        <w:t>Бициклол</w:t>
      </w:r>
      <w:proofErr w:type="spellEnd"/>
      <w:r w:rsidRPr="003144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 взрослых пациентов с хроническим гепатитом</w:t>
      </w:r>
      <w:proofErr w:type="gramStart"/>
      <w:r w:rsidRPr="003144A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С</w:t>
      </w:r>
      <w:proofErr w:type="gramEnd"/>
      <w:r w:rsidRPr="003144AD">
        <w:rPr>
          <w:rFonts w:ascii="Times New Roman" w:hAnsi="Times New Roman"/>
          <w:bCs/>
          <w:color w:val="000000"/>
          <w:sz w:val="28"/>
          <w:szCs w:val="28"/>
          <w:lang w:val="ru-RU"/>
        </w:rPr>
        <w:t>» включено 59 пациентов</w:t>
      </w:r>
      <w:r w:rsidR="00AA62ED" w:rsidRPr="003144AD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r w:rsidRPr="003144A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1648FF" w:rsidRPr="003144AD">
        <w:rPr>
          <w:rFonts w:ascii="Times New Roman" w:hAnsi="Times New Roman"/>
          <w:sz w:val="28"/>
          <w:szCs w:val="28"/>
          <w:lang w:val="ru-RU"/>
        </w:rPr>
        <w:t xml:space="preserve">23 </w:t>
      </w:r>
      <w:r w:rsidR="00AA62ED" w:rsidRPr="003144AD">
        <w:rPr>
          <w:rFonts w:ascii="Times New Roman" w:hAnsi="Times New Roman"/>
          <w:sz w:val="28"/>
          <w:szCs w:val="28"/>
          <w:lang w:val="ru-RU"/>
        </w:rPr>
        <w:t xml:space="preserve">из них </w:t>
      </w:r>
      <w:r w:rsidR="001648FF" w:rsidRPr="003144AD">
        <w:rPr>
          <w:rFonts w:ascii="Times New Roman" w:hAnsi="Times New Roman"/>
          <w:sz w:val="28"/>
          <w:szCs w:val="28"/>
          <w:lang w:val="ru-RU"/>
        </w:rPr>
        <w:t>ранее получали ПВТ.</w:t>
      </w:r>
    </w:p>
    <w:p w:rsidR="001648FF" w:rsidRPr="003144AD" w:rsidRDefault="001648FF" w:rsidP="0046733D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44AD">
        <w:rPr>
          <w:rFonts w:ascii="Times New Roman" w:hAnsi="Times New Roman"/>
          <w:sz w:val="28"/>
          <w:szCs w:val="28"/>
          <w:lang w:val="ru-RU" w:eastAsia="zh-CN"/>
        </w:rPr>
        <w:lastRenderedPageBreak/>
        <w:t xml:space="preserve">Критериями включения являлись: определяемый уровень РНК вируса гепатита С в сыворотке крови, </w:t>
      </w:r>
      <w:r w:rsidRPr="003144AD">
        <w:rPr>
          <w:rFonts w:ascii="Times New Roman" w:hAnsi="Times New Roman"/>
          <w:sz w:val="28"/>
          <w:szCs w:val="28"/>
          <w:lang w:val="ru-RU"/>
        </w:rPr>
        <w:t xml:space="preserve">активность </w:t>
      </w:r>
      <w:proofErr w:type="spellStart"/>
      <w:r w:rsidRPr="003144AD">
        <w:rPr>
          <w:rFonts w:ascii="Times New Roman" w:hAnsi="Times New Roman"/>
          <w:sz w:val="28"/>
          <w:szCs w:val="28"/>
          <w:lang w:val="ru-RU"/>
        </w:rPr>
        <w:t>АлАТ</w:t>
      </w:r>
      <w:proofErr w:type="spellEnd"/>
      <w:r w:rsidRPr="003144AD">
        <w:rPr>
          <w:rFonts w:ascii="Times New Roman" w:hAnsi="Times New Roman"/>
          <w:sz w:val="28"/>
          <w:szCs w:val="28"/>
          <w:lang w:val="ru-RU"/>
        </w:rPr>
        <w:t xml:space="preserve"> выше верхней границы лабораторной нормы в 1,5 раза и больше (</w:t>
      </w:r>
      <w:proofErr w:type="spellStart"/>
      <w:r w:rsidRPr="003144AD">
        <w:rPr>
          <w:rFonts w:ascii="Times New Roman" w:hAnsi="Times New Roman"/>
          <w:sz w:val="28"/>
          <w:szCs w:val="28"/>
          <w:lang w:val="ru-RU"/>
        </w:rPr>
        <w:t>референтные</w:t>
      </w:r>
      <w:proofErr w:type="spellEnd"/>
      <w:r w:rsidRPr="003144AD"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proofErr w:type="spellStart"/>
      <w:r w:rsidRPr="003144AD">
        <w:rPr>
          <w:rFonts w:ascii="Times New Roman" w:hAnsi="Times New Roman"/>
          <w:sz w:val="28"/>
          <w:szCs w:val="28"/>
          <w:lang w:val="ru-RU"/>
        </w:rPr>
        <w:t>АлА</w:t>
      </w:r>
      <w:r w:rsidR="00AA62ED" w:rsidRPr="003144AD">
        <w:rPr>
          <w:rFonts w:ascii="Times New Roman" w:hAnsi="Times New Roman"/>
          <w:sz w:val="28"/>
          <w:szCs w:val="28"/>
          <w:lang w:val="ru-RU"/>
        </w:rPr>
        <w:t>Т</w:t>
      </w:r>
      <w:proofErr w:type="spellEnd"/>
      <w:r w:rsidRPr="003144AD">
        <w:rPr>
          <w:rFonts w:ascii="Times New Roman" w:hAnsi="Times New Roman"/>
          <w:sz w:val="28"/>
          <w:szCs w:val="28"/>
          <w:lang w:val="ru-RU"/>
        </w:rPr>
        <w:t xml:space="preserve">: 0-50 </w:t>
      </w:r>
      <w:proofErr w:type="spellStart"/>
      <w:proofErr w:type="gramStart"/>
      <w:r w:rsidRPr="003144AD">
        <w:rPr>
          <w:rFonts w:ascii="Times New Roman" w:hAnsi="Times New Roman"/>
          <w:sz w:val="28"/>
          <w:szCs w:val="28"/>
          <w:lang w:val="ru-RU"/>
        </w:rPr>
        <w:t>Ед</w:t>
      </w:r>
      <w:proofErr w:type="spellEnd"/>
      <w:proofErr w:type="gramEnd"/>
      <w:r w:rsidRPr="003144AD">
        <w:rPr>
          <w:rFonts w:ascii="Times New Roman" w:hAnsi="Times New Roman"/>
          <w:sz w:val="28"/>
          <w:szCs w:val="28"/>
          <w:lang w:val="ru-RU"/>
        </w:rPr>
        <w:t xml:space="preserve">/л для мужчин и 0-35 </w:t>
      </w:r>
      <w:proofErr w:type="spellStart"/>
      <w:r w:rsidRPr="003144AD">
        <w:rPr>
          <w:rFonts w:ascii="Times New Roman" w:hAnsi="Times New Roman"/>
          <w:sz w:val="28"/>
          <w:szCs w:val="28"/>
          <w:lang w:val="ru-RU"/>
        </w:rPr>
        <w:t>Ед</w:t>
      </w:r>
      <w:proofErr w:type="spellEnd"/>
      <w:r w:rsidRPr="003144AD">
        <w:rPr>
          <w:rFonts w:ascii="Times New Roman" w:hAnsi="Times New Roman"/>
          <w:sz w:val="28"/>
          <w:szCs w:val="28"/>
          <w:lang w:val="ru-RU"/>
        </w:rPr>
        <w:t xml:space="preserve">/л для женщин), длительностью заболевания не менее 6 месяцев, </w:t>
      </w:r>
      <w:r w:rsidR="0046733D" w:rsidRPr="003144AD">
        <w:rPr>
          <w:rFonts w:ascii="Times New Roman" w:hAnsi="Times New Roman"/>
          <w:sz w:val="28"/>
          <w:szCs w:val="28"/>
          <w:lang w:val="ru-RU"/>
        </w:rPr>
        <w:t xml:space="preserve">отсутствие признаков декомпенсированного цирроза и ГЦК. </w:t>
      </w:r>
    </w:p>
    <w:p w:rsidR="00AA62ED" w:rsidRPr="003144AD" w:rsidRDefault="0046733D" w:rsidP="00AA62ED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144AD">
        <w:rPr>
          <w:sz w:val="28"/>
          <w:szCs w:val="28"/>
          <w:lang w:eastAsia="zh-CN"/>
        </w:rPr>
        <w:t>И</w:t>
      </w:r>
      <w:r w:rsidR="00F81CAA" w:rsidRPr="003144AD">
        <w:rPr>
          <w:sz w:val="28"/>
          <w:szCs w:val="28"/>
          <w:lang w:eastAsia="zh-CN"/>
        </w:rPr>
        <w:t xml:space="preserve">сследование проводили в 3 клинических центрах Российской </w:t>
      </w:r>
      <w:r w:rsidR="00F81CAA" w:rsidRPr="003144AD">
        <w:rPr>
          <w:spacing w:val="-4"/>
          <w:sz w:val="28"/>
          <w:szCs w:val="28"/>
          <w:lang w:eastAsia="zh-CN"/>
        </w:rPr>
        <w:t>Федерации</w:t>
      </w:r>
      <w:r w:rsidR="001648FF" w:rsidRPr="003144AD">
        <w:rPr>
          <w:spacing w:val="-4"/>
          <w:sz w:val="28"/>
          <w:szCs w:val="28"/>
          <w:lang w:eastAsia="zh-CN"/>
        </w:rPr>
        <w:t>:</w:t>
      </w:r>
      <w:r w:rsidR="00F81CAA" w:rsidRPr="003144AD">
        <w:rPr>
          <w:spacing w:val="-4"/>
          <w:sz w:val="28"/>
          <w:szCs w:val="28"/>
          <w:lang w:eastAsia="zh-CN"/>
        </w:rPr>
        <w:t xml:space="preserve"> </w:t>
      </w:r>
      <w:r w:rsidR="00F81CAA" w:rsidRPr="003144AD">
        <w:rPr>
          <w:spacing w:val="-4"/>
          <w:sz w:val="28"/>
          <w:szCs w:val="28"/>
        </w:rPr>
        <w:t xml:space="preserve">г. </w:t>
      </w:r>
      <w:r w:rsidR="00F81CAA" w:rsidRPr="003144AD">
        <w:rPr>
          <w:bCs/>
          <w:spacing w:val="-4"/>
          <w:sz w:val="28"/>
          <w:szCs w:val="28"/>
        </w:rPr>
        <w:t>Самара</w:t>
      </w:r>
      <w:r w:rsidR="001648FF" w:rsidRPr="003144AD">
        <w:rPr>
          <w:bCs/>
          <w:spacing w:val="-4"/>
          <w:sz w:val="28"/>
          <w:szCs w:val="28"/>
        </w:rPr>
        <w:t xml:space="preserve"> – </w:t>
      </w:r>
      <w:r w:rsidR="001648FF" w:rsidRPr="003144AD">
        <w:rPr>
          <w:sz w:val="28"/>
          <w:szCs w:val="28"/>
          <w:lang w:val="en-US"/>
        </w:rPr>
        <w:t>Samara</w:t>
      </w:r>
      <w:r w:rsidR="001648FF" w:rsidRPr="003144AD">
        <w:rPr>
          <w:sz w:val="28"/>
          <w:szCs w:val="28"/>
        </w:rPr>
        <w:t xml:space="preserve"> </w:t>
      </w:r>
      <w:r w:rsidR="001648FF" w:rsidRPr="003144AD">
        <w:rPr>
          <w:sz w:val="28"/>
          <w:szCs w:val="28"/>
          <w:lang w:val="en-US"/>
        </w:rPr>
        <w:t>medical</w:t>
      </w:r>
      <w:r w:rsidR="001648FF" w:rsidRPr="003144AD">
        <w:rPr>
          <w:sz w:val="28"/>
          <w:szCs w:val="28"/>
        </w:rPr>
        <w:t xml:space="preserve"> </w:t>
      </w:r>
      <w:r w:rsidR="001648FF" w:rsidRPr="003144AD">
        <w:rPr>
          <w:sz w:val="28"/>
          <w:szCs w:val="28"/>
          <w:lang w:val="en-US"/>
        </w:rPr>
        <w:t>company</w:t>
      </w:r>
      <w:r w:rsidR="001648FF" w:rsidRPr="003144AD">
        <w:rPr>
          <w:sz w:val="28"/>
          <w:szCs w:val="28"/>
        </w:rPr>
        <w:t xml:space="preserve"> “</w:t>
      </w:r>
      <w:proofErr w:type="spellStart"/>
      <w:r w:rsidR="001648FF" w:rsidRPr="003144AD">
        <w:rPr>
          <w:sz w:val="28"/>
          <w:szCs w:val="28"/>
          <w:lang w:val="en-US"/>
        </w:rPr>
        <w:t>Hepatologist</w:t>
      </w:r>
      <w:proofErr w:type="spellEnd"/>
      <w:r w:rsidR="001648FF" w:rsidRPr="003144AD">
        <w:rPr>
          <w:sz w:val="28"/>
          <w:szCs w:val="28"/>
        </w:rPr>
        <w:t xml:space="preserve">”, </w:t>
      </w:r>
      <w:r w:rsidRPr="003144AD">
        <w:rPr>
          <w:spacing w:val="-4"/>
          <w:sz w:val="28"/>
          <w:szCs w:val="28"/>
          <w:lang w:eastAsia="zh-CN"/>
        </w:rPr>
        <w:t xml:space="preserve">г. </w:t>
      </w:r>
      <w:r w:rsidR="00F81CAA" w:rsidRPr="003144AD">
        <w:rPr>
          <w:spacing w:val="-4"/>
          <w:sz w:val="28"/>
          <w:szCs w:val="28"/>
          <w:lang w:eastAsia="zh-CN"/>
        </w:rPr>
        <w:t>Санкт-Петербург</w:t>
      </w:r>
      <w:r w:rsidR="001648FF" w:rsidRPr="003144AD">
        <w:rPr>
          <w:spacing w:val="-4"/>
          <w:sz w:val="28"/>
          <w:szCs w:val="28"/>
          <w:lang w:eastAsia="zh-CN"/>
        </w:rPr>
        <w:t xml:space="preserve"> – </w:t>
      </w:r>
      <w:r w:rsidR="001648FF" w:rsidRPr="003144AD">
        <w:rPr>
          <w:sz w:val="28"/>
          <w:szCs w:val="28"/>
          <w:lang w:val="en-US"/>
        </w:rPr>
        <w:t>Pavlov</w:t>
      </w:r>
      <w:r w:rsidR="001648FF" w:rsidRPr="003144AD">
        <w:rPr>
          <w:sz w:val="28"/>
          <w:szCs w:val="28"/>
        </w:rPr>
        <w:t xml:space="preserve"> </w:t>
      </w:r>
      <w:r w:rsidR="001648FF" w:rsidRPr="003144AD">
        <w:rPr>
          <w:sz w:val="28"/>
          <w:szCs w:val="28"/>
          <w:lang w:val="en-US"/>
        </w:rPr>
        <w:t>First</w:t>
      </w:r>
      <w:r w:rsidR="001648FF" w:rsidRPr="003144AD">
        <w:rPr>
          <w:sz w:val="28"/>
          <w:szCs w:val="28"/>
        </w:rPr>
        <w:t xml:space="preserve"> </w:t>
      </w:r>
      <w:r w:rsidR="001648FF" w:rsidRPr="003144AD">
        <w:rPr>
          <w:sz w:val="28"/>
          <w:szCs w:val="28"/>
          <w:lang w:val="en-US"/>
        </w:rPr>
        <w:t>Saint</w:t>
      </w:r>
      <w:r w:rsidR="001648FF" w:rsidRPr="003144AD">
        <w:rPr>
          <w:sz w:val="28"/>
          <w:szCs w:val="28"/>
        </w:rPr>
        <w:t xml:space="preserve"> </w:t>
      </w:r>
      <w:r w:rsidR="001648FF" w:rsidRPr="003144AD">
        <w:rPr>
          <w:sz w:val="28"/>
          <w:szCs w:val="28"/>
          <w:lang w:val="en-US"/>
        </w:rPr>
        <w:t>Petersburg</w:t>
      </w:r>
      <w:r w:rsidR="001648FF" w:rsidRPr="003144AD">
        <w:rPr>
          <w:sz w:val="28"/>
          <w:szCs w:val="28"/>
        </w:rPr>
        <w:t xml:space="preserve"> </w:t>
      </w:r>
      <w:r w:rsidR="001648FF" w:rsidRPr="003144AD">
        <w:rPr>
          <w:sz w:val="28"/>
          <w:szCs w:val="28"/>
          <w:lang w:val="en-US"/>
        </w:rPr>
        <w:t>State</w:t>
      </w:r>
      <w:r w:rsidR="001648FF" w:rsidRPr="003144AD">
        <w:rPr>
          <w:sz w:val="28"/>
          <w:szCs w:val="28"/>
        </w:rPr>
        <w:t xml:space="preserve"> </w:t>
      </w:r>
      <w:r w:rsidR="001648FF" w:rsidRPr="003144AD">
        <w:rPr>
          <w:sz w:val="28"/>
          <w:szCs w:val="28"/>
          <w:lang w:val="en-US"/>
        </w:rPr>
        <w:t>Medical</w:t>
      </w:r>
      <w:r w:rsidR="001648FF" w:rsidRPr="003144AD">
        <w:rPr>
          <w:sz w:val="28"/>
          <w:szCs w:val="28"/>
        </w:rPr>
        <w:t xml:space="preserve"> </w:t>
      </w:r>
      <w:r w:rsidR="001648FF" w:rsidRPr="003144AD">
        <w:rPr>
          <w:sz w:val="28"/>
          <w:szCs w:val="28"/>
          <w:lang w:val="en-US"/>
        </w:rPr>
        <w:t>University</w:t>
      </w:r>
      <w:r w:rsidR="001648FF" w:rsidRPr="003144AD">
        <w:rPr>
          <w:sz w:val="28"/>
          <w:szCs w:val="28"/>
        </w:rPr>
        <w:t>,</w:t>
      </w:r>
      <w:r w:rsidR="001648FF" w:rsidRPr="003144AD">
        <w:rPr>
          <w:spacing w:val="-4"/>
          <w:sz w:val="28"/>
          <w:szCs w:val="28"/>
          <w:lang w:eastAsia="zh-CN"/>
        </w:rPr>
        <w:t xml:space="preserve"> </w:t>
      </w:r>
      <w:r w:rsidR="00F81CAA" w:rsidRPr="003144AD">
        <w:rPr>
          <w:spacing w:val="-4"/>
          <w:sz w:val="28"/>
          <w:szCs w:val="28"/>
          <w:lang w:eastAsia="zh-CN"/>
        </w:rPr>
        <w:t xml:space="preserve">г. </w:t>
      </w:r>
      <w:r w:rsidR="00F81CAA" w:rsidRPr="003144AD">
        <w:rPr>
          <w:spacing w:val="-4"/>
          <w:sz w:val="28"/>
          <w:szCs w:val="28"/>
        </w:rPr>
        <w:t>Ставрополь</w:t>
      </w:r>
      <w:r w:rsidR="001648FF" w:rsidRPr="003144AD">
        <w:rPr>
          <w:bCs/>
          <w:spacing w:val="-4"/>
          <w:sz w:val="28"/>
          <w:szCs w:val="28"/>
        </w:rPr>
        <w:t xml:space="preserve"> </w:t>
      </w:r>
      <w:r w:rsidR="001648FF" w:rsidRPr="003144AD">
        <w:rPr>
          <w:spacing w:val="-4"/>
          <w:sz w:val="28"/>
          <w:szCs w:val="28"/>
          <w:lang w:eastAsia="zh-CN"/>
        </w:rPr>
        <w:t xml:space="preserve">– </w:t>
      </w:r>
      <w:r w:rsidR="00F81CAA" w:rsidRPr="003144AD">
        <w:rPr>
          <w:spacing w:val="-4"/>
          <w:sz w:val="28"/>
          <w:szCs w:val="28"/>
          <w:lang w:eastAsia="zh-CN"/>
        </w:rPr>
        <w:t xml:space="preserve"> </w:t>
      </w:r>
      <w:r w:rsidR="001648FF" w:rsidRPr="003144AD">
        <w:rPr>
          <w:sz w:val="28"/>
          <w:szCs w:val="28"/>
          <w:lang w:val="en-US"/>
        </w:rPr>
        <w:t>Stavropol</w:t>
      </w:r>
      <w:r w:rsidR="001648FF" w:rsidRPr="003144AD">
        <w:rPr>
          <w:sz w:val="28"/>
          <w:szCs w:val="28"/>
        </w:rPr>
        <w:t xml:space="preserve"> </w:t>
      </w:r>
      <w:r w:rsidR="001648FF" w:rsidRPr="003144AD">
        <w:rPr>
          <w:sz w:val="28"/>
          <w:szCs w:val="28"/>
          <w:lang w:val="en-US"/>
        </w:rPr>
        <w:t>State</w:t>
      </w:r>
      <w:r w:rsidR="001648FF" w:rsidRPr="003144AD">
        <w:rPr>
          <w:sz w:val="28"/>
          <w:szCs w:val="28"/>
        </w:rPr>
        <w:t xml:space="preserve"> </w:t>
      </w:r>
      <w:r w:rsidR="001648FF" w:rsidRPr="003144AD">
        <w:rPr>
          <w:sz w:val="28"/>
          <w:szCs w:val="28"/>
          <w:lang w:val="en-US"/>
        </w:rPr>
        <w:t>Medical</w:t>
      </w:r>
      <w:r w:rsidR="001648FF" w:rsidRPr="003144AD">
        <w:rPr>
          <w:sz w:val="28"/>
          <w:szCs w:val="28"/>
        </w:rPr>
        <w:t xml:space="preserve"> </w:t>
      </w:r>
      <w:r w:rsidR="001648FF" w:rsidRPr="003144AD">
        <w:rPr>
          <w:sz w:val="28"/>
          <w:szCs w:val="28"/>
          <w:lang w:val="en-US"/>
        </w:rPr>
        <w:t>University</w:t>
      </w:r>
      <w:r w:rsidR="001648FF" w:rsidRPr="003144AD">
        <w:rPr>
          <w:sz w:val="28"/>
          <w:szCs w:val="28"/>
        </w:rPr>
        <w:t>, время проведения исследования</w:t>
      </w:r>
      <w:r w:rsidR="001648FF" w:rsidRPr="003144AD">
        <w:rPr>
          <w:spacing w:val="-4"/>
          <w:sz w:val="28"/>
          <w:szCs w:val="28"/>
          <w:lang w:eastAsia="zh-CN"/>
        </w:rPr>
        <w:t xml:space="preserve"> </w:t>
      </w:r>
      <w:r w:rsidR="00F81CAA" w:rsidRPr="003144AD">
        <w:rPr>
          <w:spacing w:val="-4"/>
          <w:sz w:val="28"/>
          <w:szCs w:val="28"/>
          <w:lang w:eastAsia="zh-CN"/>
        </w:rPr>
        <w:t>с марта 2013 г. по март 2014 г.</w:t>
      </w:r>
      <w:r w:rsidR="00F81CAA" w:rsidRPr="003144AD">
        <w:rPr>
          <w:sz w:val="28"/>
          <w:szCs w:val="28"/>
          <w:lang w:eastAsia="zh-CN"/>
        </w:rPr>
        <w:t xml:space="preserve"> </w:t>
      </w:r>
      <w:r w:rsidR="00AA62ED" w:rsidRPr="003144AD">
        <w:rPr>
          <w:sz w:val="28"/>
          <w:szCs w:val="28"/>
        </w:rPr>
        <w:t>Исследование осуществляли в соответствии с разрешением Министерства Здравоохранения Российской Федерации на основе результатов этической экспертизы протокола исследования.</w:t>
      </w:r>
      <w:proofErr w:type="gramEnd"/>
      <w:r w:rsidR="00AA62ED" w:rsidRPr="003144AD">
        <w:rPr>
          <w:sz w:val="28"/>
          <w:szCs w:val="28"/>
        </w:rPr>
        <w:t xml:space="preserve"> В каждом из клинических центров проводили согласование исследования с локальными независимыми комитетами по этике. Все включённые в исследование пациенты подписали информированное согласие.</w:t>
      </w:r>
    </w:p>
    <w:p w:rsidR="002E715A" w:rsidRPr="003144AD" w:rsidRDefault="001648FF" w:rsidP="002E715A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>Согласно протоколу б</w:t>
      </w:r>
      <w:r w:rsidR="00F81CAA" w:rsidRPr="003144AD">
        <w:rPr>
          <w:sz w:val="28"/>
          <w:szCs w:val="28"/>
        </w:rPr>
        <w:t xml:space="preserve">ольным выполняли рутинные лабораторные исследования: клинический анализ крови, общий анализ мочи, биохимическое исследование сыворотки крови, включая определение активности </w:t>
      </w:r>
      <w:proofErr w:type="spellStart"/>
      <w:r w:rsidR="002E715A" w:rsidRPr="003144AD">
        <w:rPr>
          <w:sz w:val="28"/>
          <w:szCs w:val="28"/>
        </w:rPr>
        <w:t>АлАТ</w:t>
      </w:r>
      <w:proofErr w:type="spellEnd"/>
      <w:r w:rsidR="002E715A" w:rsidRPr="003144AD">
        <w:rPr>
          <w:sz w:val="28"/>
          <w:szCs w:val="28"/>
        </w:rPr>
        <w:t xml:space="preserve">, </w:t>
      </w:r>
      <w:proofErr w:type="spellStart"/>
      <w:r w:rsidR="00F81CAA" w:rsidRPr="003144AD">
        <w:rPr>
          <w:sz w:val="28"/>
          <w:szCs w:val="28"/>
        </w:rPr>
        <w:t>АсАТ</w:t>
      </w:r>
      <w:proofErr w:type="spellEnd"/>
      <w:r w:rsidR="00F81CAA" w:rsidRPr="003144AD">
        <w:rPr>
          <w:sz w:val="28"/>
          <w:szCs w:val="28"/>
        </w:rPr>
        <w:t xml:space="preserve">, ГГТП, ЩФ, концентрации билирубина и его фракций. </w:t>
      </w:r>
      <w:r w:rsidR="00AA62ED" w:rsidRPr="003144AD">
        <w:rPr>
          <w:sz w:val="28"/>
          <w:szCs w:val="28"/>
        </w:rPr>
        <w:t xml:space="preserve">В качестве первичного критерия оценки эффективности была выбрана динамика активности </w:t>
      </w:r>
      <w:proofErr w:type="spellStart"/>
      <w:r w:rsidR="00AA62ED" w:rsidRPr="003144AD">
        <w:rPr>
          <w:sz w:val="28"/>
          <w:szCs w:val="28"/>
        </w:rPr>
        <w:t>АлАТ</w:t>
      </w:r>
      <w:proofErr w:type="spellEnd"/>
      <w:r w:rsidR="00AA62ED" w:rsidRPr="003144AD">
        <w:rPr>
          <w:sz w:val="28"/>
          <w:szCs w:val="28"/>
        </w:rPr>
        <w:t>.</w:t>
      </w:r>
      <w:r w:rsidR="002E715A" w:rsidRPr="003144AD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gramStart"/>
      <w:r w:rsidR="002E715A" w:rsidRPr="003144AD">
        <w:rPr>
          <w:rFonts w:eastAsia="+mn-ea"/>
          <w:bCs/>
          <w:color w:val="000000"/>
          <w:kern w:val="24"/>
          <w:sz w:val="28"/>
          <w:szCs w:val="28"/>
        </w:rPr>
        <w:t>О</w:t>
      </w:r>
      <w:r w:rsidR="002E715A" w:rsidRPr="003144AD">
        <w:rPr>
          <w:bCs/>
          <w:sz w:val="28"/>
          <w:szCs w:val="28"/>
        </w:rPr>
        <w:t>ценка безопасности проводилась путем  регистрации и оценки нежелательных явлений (клинический осмотр, клинический и биохимический анализы крови, общий анализ мочи.</w:t>
      </w:r>
      <w:r w:rsidR="002E715A" w:rsidRPr="003144AD">
        <w:rPr>
          <w:sz w:val="28"/>
          <w:szCs w:val="28"/>
        </w:rPr>
        <w:t xml:space="preserve"> </w:t>
      </w:r>
      <w:proofErr w:type="gramEnd"/>
    </w:p>
    <w:p w:rsidR="00F81CAA" w:rsidRPr="003144AD" w:rsidRDefault="00F81CAA" w:rsidP="003146B5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 xml:space="preserve">Для субъективной оценки астеновегетативного синдрома, ведущего клинического проявления хронического вирусного гепатита, использовали шкалу оценки астении (MFI-20, </w:t>
      </w:r>
      <w:proofErr w:type="spellStart"/>
      <w:r w:rsidRPr="003144AD">
        <w:rPr>
          <w:sz w:val="28"/>
          <w:szCs w:val="28"/>
        </w:rPr>
        <w:t>Multidimensional</w:t>
      </w:r>
      <w:proofErr w:type="spellEnd"/>
      <w:r w:rsidRPr="003144AD">
        <w:rPr>
          <w:sz w:val="28"/>
          <w:szCs w:val="28"/>
        </w:rPr>
        <w:t xml:space="preserve"> </w:t>
      </w:r>
      <w:proofErr w:type="spellStart"/>
      <w:r w:rsidRPr="003144AD">
        <w:rPr>
          <w:sz w:val="28"/>
          <w:szCs w:val="28"/>
        </w:rPr>
        <w:t>Fatigue</w:t>
      </w:r>
      <w:proofErr w:type="spellEnd"/>
      <w:r w:rsidRPr="003144AD">
        <w:rPr>
          <w:sz w:val="28"/>
          <w:szCs w:val="28"/>
        </w:rPr>
        <w:t xml:space="preserve"> Inventory-20)</w:t>
      </w:r>
      <w:r w:rsidRPr="003144AD">
        <w:rPr>
          <w:rStyle w:val="a3"/>
          <w:sz w:val="28"/>
          <w:szCs w:val="28"/>
        </w:rPr>
        <w:t xml:space="preserve"> </w:t>
      </w:r>
      <w:r w:rsidRPr="003144AD">
        <w:rPr>
          <w:sz w:val="28"/>
          <w:szCs w:val="28"/>
        </w:rPr>
        <w:t>[</w:t>
      </w:r>
      <w:r w:rsidR="001648FF" w:rsidRPr="003144AD">
        <w:rPr>
          <w:sz w:val="28"/>
          <w:szCs w:val="28"/>
        </w:rPr>
        <w:t>8</w:t>
      </w:r>
      <w:r w:rsidRPr="003144AD">
        <w:rPr>
          <w:sz w:val="28"/>
          <w:szCs w:val="28"/>
        </w:rPr>
        <w:t xml:space="preserve">]. Шкала MFI-20 включает 20 утверждений, ответ на каждое из которых оценивается от 0 до 5 баллов. Подсчет баллов ведется по 5 </w:t>
      </w:r>
      <w:proofErr w:type="spellStart"/>
      <w:r w:rsidRPr="003144AD">
        <w:rPr>
          <w:sz w:val="28"/>
          <w:szCs w:val="28"/>
        </w:rPr>
        <w:t>подшкалам</w:t>
      </w:r>
      <w:proofErr w:type="spellEnd"/>
      <w:r w:rsidRPr="003144AD">
        <w:rPr>
          <w:sz w:val="28"/>
          <w:szCs w:val="28"/>
        </w:rPr>
        <w:t xml:space="preserve">: общая астения, физическая астения, пониженная активность, снижение мотивации, </w:t>
      </w:r>
      <w:r w:rsidRPr="003144AD">
        <w:rPr>
          <w:sz w:val="28"/>
          <w:szCs w:val="28"/>
        </w:rPr>
        <w:lastRenderedPageBreak/>
        <w:t xml:space="preserve">психическая астения. При сумме больше 12 баллов хотя бы по одной из </w:t>
      </w:r>
      <w:proofErr w:type="spellStart"/>
      <w:r w:rsidRPr="003144AD">
        <w:rPr>
          <w:sz w:val="28"/>
          <w:szCs w:val="28"/>
        </w:rPr>
        <w:t>подшкал</w:t>
      </w:r>
      <w:proofErr w:type="spellEnd"/>
      <w:r w:rsidRPr="003144AD">
        <w:rPr>
          <w:sz w:val="28"/>
          <w:szCs w:val="28"/>
        </w:rPr>
        <w:t xml:space="preserve"> и при общей сумме более 60 баллов астения считается значимой.</w:t>
      </w:r>
    </w:p>
    <w:p w:rsidR="00AA62ED" w:rsidRPr="003144AD" w:rsidRDefault="00F81CAA" w:rsidP="00AA62ED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  <w:lang w:eastAsia="zh-CN"/>
        </w:rPr>
        <w:t xml:space="preserve">Пациенты, </w:t>
      </w:r>
      <w:proofErr w:type="spellStart"/>
      <w:r w:rsidRPr="003144AD">
        <w:rPr>
          <w:sz w:val="28"/>
          <w:szCs w:val="28"/>
          <w:lang w:eastAsia="zh-CN"/>
        </w:rPr>
        <w:t>рандомизированные</w:t>
      </w:r>
      <w:proofErr w:type="spellEnd"/>
      <w:r w:rsidRPr="003144AD">
        <w:rPr>
          <w:sz w:val="28"/>
          <w:szCs w:val="28"/>
          <w:lang w:eastAsia="zh-CN"/>
        </w:rPr>
        <w:t xml:space="preserve"> в основную (</w:t>
      </w:r>
      <w:r w:rsidRPr="003144AD">
        <w:rPr>
          <w:sz w:val="28"/>
          <w:szCs w:val="28"/>
        </w:rPr>
        <w:t xml:space="preserve">опытную) и контрольную </w:t>
      </w:r>
      <w:r w:rsidRPr="003144AD">
        <w:rPr>
          <w:sz w:val="28"/>
          <w:szCs w:val="28"/>
          <w:lang w:eastAsia="zh-CN"/>
        </w:rPr>
        <w:t xml:space="preserve">группы, получали </w:t>
      </w:r>
      <w:r w:rsidRPr="003144AD">
        <w:rPr>
          <w:sz w:val="28"/>
          <w:szCs w:val="28"/>
        </w:rPr>
        <w:t xml:space="preserve">исследуемый препарат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 xml:space="preserve"> </w:t>
      </w:r>
      <w:r w:rsidR="00AA62ED" w:rsidRPr="003144AD">
        <w:rPr>
          <w:bCs/>
          <w:color w:val="000000"/>
          <w:sz w:val="28"/>
          <w:szCs w:val="28"/>
        </w:rPr>
        <w:t>(</w:t>
      </w:r>
      <w:r w:rsidR="00AA62ED" w:rsidRPr="003144AD">
        <w:rPr>
          <w:bCs/>
          <w:color w:val="000000"/>
          <w:sz w:val="28"/>
          <w:szCs w:val="28"/>
          <w:lang w:val="en-US"/>
        </w:rPr>
        <w:t>Beijing</w:t>
      </w:r>
      <w:r w:rsidR="00AA62ED" w:rsidRPr="003144AD">
        <w:rPr>
          <w:bCs/>
          <w:color w:val="000000"/>
          <w:sz w:val="28"/>
          <w:szCs w:val="28"/>
        </w:rPr>
        <w:t xml:space="preserve"> </w:t>
      </w:r>
      <w:r w:rsidR="00AA62ED" w:rsidRPr="003144AD">
        <w:rPr>
          <w:bCs/>
          <w:color w:val="000000"/>
          <w:sz w:val="28"/>
          <w:szCs w:val="28"/>
          <w:lang w:val="en-US"/>
        </w:rPr>
        <w:t>Union</w:t>
      </w:r>
      <w:r w:rsidR="00AA62ED" w:rsidRPr="003144AD">
        <w:rPr>
          <w:bCs/>
          <w:color w:val="000000"/>
          <w:sz w:val="28"/>
          <w:szCs w:val="28"/>
        </w:rPr>
        <w:t xml:space="preserve"> </w:t>
      </w:r>
      <w:r w:rsidR="00AA62ED" w:rsidRPr="003144AD">
        <w:rPr>
          <w:bCs/>
          <w:color w:val="000000"/>
          <w:sz w:val="28"/>
          <w:szCs w:val="28"/>
          <w:lang w:val="en-US"/>
        </w:rPr>
        <w:t>Pharmaceutical</w:t>
      </w:r>
      <w:r w:rsidR="00AA62ED" w:rsidRPr="003144AD">
        <w:rPr>
          <w:bCs/>
          <w:color w:val="000000"/>
          <w:sz w:val="28"/>
          <w:szCs w:val="28"/>
        </w:rPr>
        <w:t xml:space="preserve"> </w:t>
      </w:r>
      <w:r w:rsidR="00AA62ED" w:rsidRPr="003144AD">
        <w:rPr>
          <w:bCs/>
          <w:color w:val="000000"/>
          <w:sz w:val="28"/>
          <w:szCs w:val="28"/>
          <w:lang w:val="en-US"/>
        </w:rPr>
        <w:t>Factory</w:t>
      </w:r>
      <w:r w:rsidR="00AA62ED" w:rsidRPr="003144AD">
        <w:rPr>
          <w:bCs/>
          <w:color w:val="000000"/>
          <w:sz w:val="28"/>
          <w:szCs w:val="28"/>
        </w:rPr>
        <w:t xml:space="preserve">, КНР) </w:t>
      </w:r>
      <w:r w:rsidRPr="003144AD">
        <w:rPr>
          <w:sz w:val="28"/>
          <w:szCs w:val="28"/>
        </w:rPr>
        <w:t xml:space="preserve">и плацебо соответственно. Режим дозирования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>® соответствовал инструкции по медицинскому применению: внутрь,</w:t>
      </w:r>
      <w:r w:rsidRPr="003144AD">
        <w:rPr>
          <w:bCs/>
          <w:spacing w:val="-2"/>
          <w:sz w:val="28"/>
          <w:szCs w:val="28"/>
        </w:rPr>
        <w:t xml:space="preserve"> </w:t>
      </w:r>
      <w:r w:rsidRPr="003144AD">
        <w:rPr>
          <w:sz w:val="28"/>
          <w:szCs w:val="28"/>
        </w:rPr>
        <w:t>через 1 час после приема пищи, по 50 мг (</w:t>
      </w:r>
      <w:r w:rsidRPr="003144AD">
        <w:rPr>
          <w:bCs/>
          <w:spacing w:val="-2"/>
          <w:sz w:val="28"/>
          <w:szCs w:val="28"/>
        </w:rPr>
        <w:t xml:space="preserve">2 таблетки) 3 раза в день (150 мг/день). </w:t>
      </w:r>
      <w:r w:rsidRPr="003144AD">
        <w:rPr>
          <w:sz w:val="28"/>
          <w:szCs w:val="28"/>
        </w:rPr>
        <w:t>Плацебо назначали по той же схеме. Длительность приема препаратов составила 12 недель.</w:t>
      </w:r>
      <w:r w:rsidR="001648FF" w:rsidRPr="003144AD">
        <w:rPr>
          <w:bCs/>
          <w:color w:val="000000"/>
          <w:sz w:val="28"/>
          <w:szCs w:val="28"/>
        </w:rPr>
        <w:t xml:space="preserve"> Результаты оценивались до назначения препарата, через 4 и 12 недель терапии.</w:t>
      </w:r>
      <w:r w:rsidR="00AA62ED" w:rsidRPr="003144AD">
        <w:rPr>
          <w:sz w:val="28"/>
          <w:szCs w:val="28"/>
        </w:rPr>
        <w:t xml:space="preserve"> Приверженность больных лечению определяли при оценке принятого количества препаратов на 4 и 12 неделях лечения. При суммарном пропуске приема препарата более 20% назначенных доз (контроль по числу таблеток) </w:t>
      </w:r>
      <w:proofErr w:type="spellStart"/>
      <w:r w:rsidR="00AA62ED" w:rsidRPr="003144AD">
        <w:rPr>
          <w:sz w:val="28"/>
          <w:szCs w:val="28"/>
        </w:rPr>
        <w:t>комплаентность</w:t>
      </w:r>
      <w:proofErr w:type="spellEnd"/>
      <w:r w:rsidR="00AA62ED" w:rsidRPr="003144AD">
        <w:rPr>
          <w:sz w:val="28"/>
          <w:szCs w:val="28"/>
        </w:rPr>
        <w:t xml:space="preserve"> считалась неудовлетворительной.</w:t>
      </w:r>
    </w:p>
    <w:p w:rsidR="00F81CAA" w:rsidRPr="003144AD" w:rsidRDefault="00F81CAA" w:rsidP="003146B5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>Статистический анализ полученных результатов проводили с применением программного пакета для статистического анализа STATISTICA 10.0. При обработке результатов исследования рассматривали двухсторонние статистические гипотезы с уровнем значимости равным 0,05. Проверка данных на соответствие нормальному закону распределения осуществляется с помощью критерия Шапиро-</w:t>
      </w:r>
      <w:proofErr w:type="spellStart"/>
      <w:r w:rsidRPr="003144AD">
        <w:rPr>
          <w:sz w:val="28"/>
          <w:szCs w:val="28"/>
        </w:rPr>
        <w:t>Уилка</w:t>
      </w:r>
      <w:proofErr w:type="spellEnd"/>
      <w:r w:rsidRPr="003144AD">
        <w:rPr>
          <w:sz w:val="28"/>
          <w:szCs w:val="28"/>
        </w:rPr>
        <w:t>. Сравнение интервальных результатов обследования пациентов между группами добровольцев проведено с помощью t-критерия Стьюдента (для нормально распределенных данных) или с помощью непараметрического критерия Манна-Уитни (</w:t>
      </w:r>
      <w:r w:rsidR="002E715A" w:rsidRPr="003144AD">
        <w:rPr>
          <w:sz w:val="28"/>
          <w:szCs w:val="28"/>
        </w:rPr>
        <w:t>при ненормальном распределении</w:t>
      </w:r>
      <w:r w:rsidRPr="003144AD">
        <w:rPr>
          <w:sz w:val="28"/>
          <w:szCs w:val="28"/>
        </w:rPr>
        <w:t xml:space="preserve">). Сравнение интервальных результатов обследования пациентов в рамках одной группы добровольцев проведено с помощью t-критерия Стьюдента для зависимых выборок (для нормально распределенных данных) или с помощью непараметрического критерия </w:t>
      </w:r>
      <w:proofErr w:type="spellStart"/>
      <w:r w:rsidRPr="003144AD">
        <w:rPr>
          <w:sz w:val="28"/>
          <w:szCs w:val="28"/>
        </w:rPr>
        <w:t>Вилкоксона</w:t>
      </w:r>
      <w:proofErr w:type="spellEnd"/>
      <w:r w:rsidRPr="003144AD">
        <w:rPr>
          <w:sz w:val="28"/>
          <w:szCs w:val="28"/>
        </w:rPr>
        <w:t xml:space="preserve"> (для данных с распределением, отличающимся </w:t>
      </w:r>
      <w:proofErr w:type="gramStart"/>
      <w:r w:rsidRPr="003144AD">
        <w:rPr>
          <w:sz w:val="28"/>
          <w:szCs w:val="28"/>
        </w:rPr>
        <w:t>от</w:t>
      </w:r>
      <w:proofErr w:type="gramEnd"/>
      <w:r w:rsidRPr="003144AD">
        <w:rPr>
          <w:sz w:val="28"/>
          <w:szCs w:val="28"/>
        </w:rPr>
        <w:t xml:space="preserve"> нормального). Сравнение категориальных данных выполняли с использованием точного критерия Фишера.</w:t>
      </w:r>
    </w:p>
    <w:p w:rsidR="00F81CAA" w:rsidRPr="003144AD" w:rsidRDefault="00F81CAA" w:rsidP="003146B5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144AD">
        <w:rPr>
          <w:b/>
          <w:sz w:val="28"/>
          <w:szCs w:val="28"/>
        </w:rPr>
        <w:lastRenderedPageBreak/>
        <w:t>Результаты исследования и их обсуждение.</w:t>
      </w:r>
    </w:p>
    <w:p w:rsidR="00F81CAA" w:rsidRPr="003144AD" w:rsidRDefault="003E1B41" w:rsidP="003146B5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 xml:space="preserve">Из включенных в исследование 59 пациентов </w:t>
      </w:r>
      <w:proofErr w:type="spellStart"/>
      <w:r w:rsidRPr="003144AD">
        <w:rPr>
          <w:sz w:val="28"/>
          <w:szCs w:val="28"/>
        </w:rPr>
        <w:t>рандомизировано</w:t>
      </w:r>
      <w:proofErr w:type="spellEnd"/>
      <w:r w:rsidRPr="003144AD">
        <w:rPr>
          <w:sz w:val="28"/>
          <w:szCs w:val="28"/>
        </w:rPr>
        <w:t xml:space="preserve"> по результатам скрининга было 53 чел</w:t>
      </w:r>
      <w:r w:rsidR="008E4AD8" w:rsidRPr="003144AD">
        <w:rPr>
          <w:sz w:val="28"/>
          <w:szCs w:val="28"/>
        </w:rPr>
        <w:t>овека</w:t>
      </w:r>
      <w:r w:rsidRPr="003144AD">
        <w:rPr>
          <w:sz w:val="28"/>
          <w:szCs w:val="28"/>
        </w:rPr>
        <w:t xml:space="preserve">, которые составили </w:t>
      </w:r>
      <w:r w:rsidRPr="003144AD">
        <w:rPr>
          <w:sz w:val="28"/>
          <w:szCs w:val="28"/>
          <w:lang w:val="en-US"/>
        </w:rPr>
        <w:t>ITT</w:t>
      </w:r>
      <w:r w:rsidRPr="003144AD">
        <w:rPr>
          <w:sz w:val="28"/>
          <w:szCs w:val="28"/>
        </w:rPr>
        <w:t>-популяцию (включены в оценку безопасности). Лечение завершили 51 пациент (</w:t>
      </w:r>
      <w:r w:rsidRPr="003144AD">
        <w:rPr>
          <w:sz w:val="28"/>
          <w:szCs w:val="28"/>
          <w:lang w:val="en-US"/>
        </w:rPr>
        <w:t>PP</w:t>
      </w:r>
      <w:r w:rsidRPr="003144AD">
        <w:rPr>
          <w:sz w:val="28"/>
          <w:szCs w:val="28"/>
        </w:rPr>
        <w:t>-популяция – включены в анализ эффективности</w:t>
      </w:r>
      <w:r w:rsidR="008E4AD8" w:rsidRPr="003144AD">
        <w:rPr>
          <w:sz w:val="28"/>
          <w:szCs w:val="28"/>
        </w:rPr>
        <w:t>)</w:t>
      </w:r>
      <w:r w:rsidRPr="003144AD">
        <w:rPr>
          <w:sz w:val="28"/>
          <w:szCs w:val="28"/>
        </w:rPr>
        <w:t xml:space="preserve">. </w:t>
      </w:r>
      <w:r w:rsidR="00F81CAA" w:rsidRPr="003144AD">
        <w:rPr>
          <w:sz w:val="28"/>
          <w:szCs w:val="28"/>
        </w:rPr>
        <w:t xml:space="preserve">Основную группу </w:t>
      </w:r>
      <w:r w:rsidR="008E4AD8" w:rsidRPr="003144AD">
        <w:rPr>
          <w:sz w:val="28"/>
          <w:szCs w:val="28"/>
        </w:rPr>
        <w:t xml:space="preserve">(получавших </w:t>
      </w:r>
      <w:proofErr w:type="spellStart"/>
      <w:r w:rsidR="008E4AD8" w:rsidRPr="003144AD">
        <w:rPr>
          <w:sz w:val="28"/>
          <w:szCs w:val="28"/>
        </w:rPr>
        <w:t>Бициклол</w:t>
      </w:r>
      <w:proofErr w:type="spellEnd"/>
      <w:r w:rsidR="008E4AD8" w:rsidRPr="003144AD">
        <w:rPr>
          <w:sz w:val="28"/>
          <w:szCs w:val="28"/>
        </w:rPr>
        <w:t xml:space="preserve">) </w:t>
      </w:r>
      <w:r w:rsidR="00F81CAA" w:rsidRPr="003144AD">
        <w:rPr>
          <w:sz w:val="28"/>
          <w:szCs w:val="28"/>
        </w:rPr>
        <w:t>составили 34 пациента в возрасте от 27 до 65 лет (средний возраст – 45,9 лет (</w:t>
      </w:r>
      <w:r w:rsidR="00F81CAA" w:rsidRPr="003144AD">
        <w:rPr>
          <w:sz w:val="28"/>
          <w:szCs w:val="28"/>
          <w:lang w:val="en-US"/>
        </w:rPr>
        <w:t>SD</w:t>
      </w:r>
      <w:r w:rsidR="00F81CAA" w:rsidRPr="003144AD">
        <w:rPr>
          <w:sz w:val="28"/>
          <w:szCs w:val="28"/>
        </w:rPr>
        <w:t>=11,1)), из них мужчин – 53% (18 человек). В контрольную группу вошли – 17 больных в возрасте от 25 до 64 лет (средний возраст 47,5 лет (</w:t>
      </w:r>
      <w:r w:rsidR="00F81CAA" w:rsidRPr="003144AD">
        <w:rPr>
          <w:sz w:val="28"/>
          <w:szCs w:val="28"/>
          <w:lang w:val="en-US"/>
        </w:rPr>
        <w:t>SD</w:t>
      </w:r>
      <w:r w:rsidR="00F81CAA" w:rsidRPr="003144AD">
        <w:rPr>
          <w:sz w:val="28"/>
          <w:szCs w:val="28"/>
        </w:rPr>
        <w:t>=11,6)), из них мужчин – 41% (7 человек).</w:t>
      </w:r>
    </w:p>
    <w:p w:rsidR="00F81CAA" w:rsidRPr="003144AD" w:rsidRDefault="00F81CAA" w:rsidP="003146B5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 xml:space="preserve">Давность постановки диагноза ХГС больным основной и контрольной групп составила 4,5 (SD=4.8) и 4,9 (SD=4.8) лет соответственно. До включения в исследование противовирусная терапия ХГС (без достижения вирусологического ответа) проводилась 12 пациентам (35,3%), получавшим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>, и 9 больным контрольной группы (52,9%).</w:t>
      </w:r>
    </w:p>
    <w:p w:rsidR="005C539C" w:rsidRDefault="00F81CAA" w:rsidP="003146B5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 xml:space="preserve">По частоте и выраженности клинических проявлений хронического вирусного гепатита больные обеих групп не различались. </w:t>
      </w:r>
      <w:r w:rsidR="008E4AD8" w:rsidRPr="003144AD">
        <w:rPr>
          <w:sz w:val="28"/>
          <w:szCs w:val="28"/>
        </w:rPr>
        <w:t>Также не выявлено различий по количественному уровню РНК вируса гепатита</w:t>
      </w:r>
      <w:proofErr w:type="gramStart"/>
      <w:r w:rsidR="008E4AD8" w:rsidRPr="003144AD">
        <w:rPr>
          <w:sz w:val="28"/>
          <w:szCs w:val="28"/>
        </w:rPr>
        <w:t xml:space="preserve"> С</w:t>
      </w:r>
      <w:proofErr w:type="gramEnd"/>
      <w:r w:rsidR="008E4AD8" w:rsidRPr="003144AD">
        <w:rPr>
          <w:sz w:val="28"/>
          <w:szCs w:val="28"/>
        </w:rPr>
        <w:t xml:space="preserve"> (основная группа –  4,09lg (SD=0,95) и контрольная группа – 4,02lg (SD=0,81) соответственно), и основными биохимическим показателям в сыворотке крови до начала терапии (табл. 1).</w:t>
      </w:r>
      <w:r w:rsidR="00357BE2" w:rsidRPr="003144AD">
        <w:rPr>
          <w:sz w:val="28"/>
          <w:szCs w:val="28"/>
        </w:rPr>
        <w:t xml:space="preserve"> </w:t>
      </w:r>
    </w:p>
    <w:p w:rsidR="005C539C" w:rsidRPr="0014611D" w:rsidRDefault="005C539C" w:rsidP="005C539C">
      <w:pPr>
        <w:spacing w:line="360" w:lineRule="auto"/>
        <w:jc w:val="right"/>
        <w:rPr>
          <w:sz w:val="28"/>
          <w:szCs w:val="28"/>
        </w:rPr>
      </w:pPr>
      <w:r w:rsidRPr="0014611D">
        <w:rPr>
          <w:sz w:val="28"/>
          <w:szCs w:val="28"/>
        </w:rPr>
        <w:t xml:space="preserve">Таблица 1 </w:t>
      </w:r>
    </w:p>
    <w:p w:rsidR="005C539C" w:rsidRPr="0014611D" w:rsidRDefault="005C539C" w:rsidP="005C539C">
      <w:pPr>
        <w:spacing w:line="360" w:lineRule="auto"/>
        <w:jc w:val="center"/>
        <w:rPr>
          <w:sz w:val="28"/>
          <w:szCs w:val="28"/>
        </w:rPr>
      </w:pPr>
      <w:r w:rsidRPr="0014611D">
        <w:rPr>
          <w:sz w:val="28"/>
          <w:szCs w:val="28"/>
        </w:rPr>
        <w:t>Основные биохимические показатели в сыворотке крови больных основной и контрольной групп до начала терапии</w:t>
      </w:r>
    </w:p>
    <w:tbl>
      <w:tblPr>
        <w:tblpPr w:leftFromText="180" w:rightFromText="180" w:vertAnchor="text" w:horzAnchor="margin" w:tblpY="5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709"/>
        <w:gridCol w:w="1843"/>
        <w:gridCol w:w="850"/>
        <w:gridCol w:w="1276"/>
      </w:tblGrid>
      <w:tr w:rsidR="005C539C" w:rsidRPr="0014611D" w:rsidTr="00C43913">
        <w:trPr>
          <w:trHeight w:val="302"/>
        </w:trPr>
        <w:tc>
          <w:tcPr>
            <w:tcW w:w="29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4611D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b/>
                <w:bCs/>
                <w:sz w:val="28"/>
                <w:szCs w:val="28"/>
              </w:rPr>
            </w:pPr>
            <w:r w:rsidRPr="0014611D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09" w:type="dxa"/>
          </w:tcPr>
          <w:p w:rsidR="005C539C" w:rsidRPr="0014611D" w:rsidRDefault="005C539C" w:rsidP="00C439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4611D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/>
                <w:bCs/>
                <w:sz w:val="28"/>
                <w:szCs w:val="28"/>
              </w:rPr>
            </w:pPr>
            <w:r w:rsidRPr="0014611D">
              <w:rPr>
                <w:b/>
                <w:bCs/>
                <w:sz w:val="28"/>
                <w:szCs w:val="28"/>
              </w:rPr>
              <w:t>Среднее (М)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/>
                <w:bCs/>
                <w:sz w:val="28"/>
                <w:szCs w:val="28"/>
              </w:rPr>
            </w:pPr>
            <w:r w:rsidRPr="0014611D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1276" w:type="dxa"/>
            <w:vAlign w:val="center"/>
          </w:tcPr>
          <w:p w:rsidR="005C539C" w:rsidRPr="0014611D" w:rsidRDefault="005C539C" w:rsidP="00C43913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14611D">
              <w:rPr>
                <w:b/>
                <w:bCs/>
                <w:sz w:val="28"/>
                <w:szCs w:val="28"/>
                <w:lang w:val="en-US"/>
              </w:rPr>
              <w:t>p-value</w:t>
            </w:r>
            <w:r w:rsidRPr="0014611D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C539C" w:rsidRPr="0014611D" w:rsidTr="00C43913">
        <w:trPr>
          <w:trHeight w:val="274"/>
        </w:trPr>
        <w:tc>
          <w:tcPr>
            <w:tcW w:w="2943" w:type="dxa"/>
            <w:vMerge w:val="restart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4611D">
              <w:rPr>
                <w:bCs/>
                <w:sz w:val="28"/>
                <w:szCs w:val="28"/>
              </w:rPr>
              <w:t>АлАТ</w:t>
            </w:r>
            <w:proofErr w:type="spellEnd"/>
            <w:r w:rsidRPr="0014611D">
              <w:rPr>
                <w:bCs/>
                <w:sz w:val="28"/>
                <w:szCs w:val="28"/>
              </w:rPr>
              <w:t xml:space="preserve"> </w:t>
            </w:r>
            <w:r w:rsidRPr="0014611D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14611D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14611D">
              <w:rPr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124,60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76,79</w:t>
            </w:r>
          </w:p>
        </w:tc>
        <w:tc>
          <w:tcPr>
            <w:tcW w:w="1276" w:type="dxa"/>
            <w:vMerge w:val="restart"/>
            <w:vAlign w:val="center"/>
          </w:tcPr>
          <w:p w:rsidR="005C539C" w:rsidRPr="0014611D" w:rsidRDefault="005C539C" w:rsidP="00C43913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14611D">
              <w:rPr>
                <w:color w:val="000000"/>
                <w:sz w:val="28"/>
                <w:szCs w:val="28"/>
              </w:rPr>
              <w:t>0,976</w:t>
            </w:r>
          </w:p>
        </w:tc>
      </w:tr>
      <w:tr w:rsidR="005C539C" w:rsidRPr="0014611D" w:rsidTr="00C43913">
        <w:trPr>
          <w:trHeight w:val="327"/>
        </w:trPr>
        <w:tc>
          <w:tcPr>
            <w:tcW w:w="2943" w:type="dxa"/>
            <w:vMerge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>Контрольная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120,92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74,57</w:t>
            </w:r>
          </w:p>
        </w:tc>
        <w:tc>
          <w:tcPr>
            <w:tcW w:w="1276" w:type="dxa"/>
            <w:vMerge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539C" w:rsidRPr="0014611D" w:rsidTr="00C43913">
        <w:trPr>
          <w:trHeight w:val="302"/>
        </w:trPr>
        <w:tc>
          <w:tcPr>
            <w:tcW w:w="2943" w:type="dxa"/>
            <w:vMerge w:val="restart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4611D">
              <w:rPr>
                <w:bCs/>
                <w:sz w:val="28"/>
                <w:szCs w:val="28"/>
              </w:rPr>
              <w:t>АсАТ</w:t>
            </w:r>
            <w:proofErr w:type="spellEnd"/>
            <w:r w:rsidRPr="0014611D">
              <w:rPr>
                <w:bCs/>
                <w:sz w:val="28"/>
                <w:szCs w:val="28"/>
              </w:rPr>
              <w:t xml:space="preserve"> </w:t>
            </w:r>
            <w:r w:rsidRPr="0014611D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14611D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14611D">
              <w:rPr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80,08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43,81</w:t>
            </w:r>
          </w:p>
        </w:tc>
        <w:tc>
          <w:tcPr>
            <w:tcW w:w="1276" w:type="dxa"/>
            <w:vMerge w:val="restart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0,897</w:t>
            </w:r>
          </w:p>
        </w:tc>
      </w:tr>
      <w:tr w:rsidR="005C539C" w:rsidRPr="0014611D" w:rsidTr="00C43913">
        <w:trPr>
          <w:trHeight w:val="302"/>
        </w:trPr>
        <w:tc>
          <w:tcPr>
            <w:tcW w:w="2943" w:type="dxa"/>
            <w:vMerge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 xml:space="preserve">Контрольная </w:t>
            </w:r>
            <w:r w:rsidRPr="0014611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80,47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41,93</w:t>
            </w:r>
          </w:p>
        </w:tc>
        <w:tc>
          <w:tcPr>
            <w:tcW w:w="1276" w:type="dxa"/>
            <w:vMerge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539C" w:rsidRPr="0014611D" w:rsidTr="00C43913">
        <w:trPr>
          <w:trHeight w:val="387"/>
        </w:trPr>
        <w:tc>
          <w:tcPr>
            <w:tcW w:w="2943" w:type="dxa"/>
            <w:vMerge w:val="restart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 xml:space="preserve">Общий билирубин </w:t>
            </w:r>
            <w:r w:rsidRPr="0014611D">
              <w:rPr>
                <w:sz w:val="28"/>
                <w:szCs w:val="28"/>
              </w:rPr>
              <w:t>(</w:t>
            </w:r>
            <w:proofErr w:type="spellStart"/>
            <w:r w:rsidRPr="0014611D">
              <w:rPr>
                <w:sz w:val="28"/>
                <w:szCs w:val="28"/>
              </w:rPr>
              <w:t>мкмоль</w:t>
            </w:r>
            <w:proofErr w:type="spellEnd"/>
            <w:r w:rsidRPr="0014611D">
              <w:rPr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17,50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8,03</w:t>
            </w:r>
          </w:p>
        </w:tc>
        <w:tc>
          <w:tcPr>
            <w:tcW w:w="1276" w:type="dxa"/>
            <w:vMerge w:val="restart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0,401</w:t>
            </w:r>
          </w:p>
        </w:tc>
      </w:tr>
      <w:tr w:rsidR="005C539C" w:rsidRPr="0014611D" w:rsidTr="00C43913">
        <w:trPr>
          <w:trHeight w:val="356"/>
        </w:trPr>
        <w:tc>
          <w:tcPr>
            <w:tcW w:w="2943" w:type="dxa"/>
            <w:vMerge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19,33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7,75</w:t>
            </w:r>
          </w:p>
        </w:tc>
        <w:tc>
          <w:tcPr>
            <w:tcW w:w="1276" w:type="dxa"/>
            <w:vMerge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539C" w:rsidRPr="0014611D" w:rsidTr="00C43913">
        <w:trPr>
          <w:trHeight w:val="322"/>
        </w:trPr>
        <w:tc>
          <w:tcPr>
            <w:tcW w:w="2943" w:type="dxa"/>
            <w:vMerge w:val="restart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 xml:space="preserve">Прямой билирубин </w:t>
            </w:r>
            <w:r w:rsidRPr="0014611D">
              <w:rPr>
                <w:sz w:val="28"/>
                <w:szCs w:val="28"/>
              </w:rPr>
              <w:t>(</w:t>
            </w:r>
            <w:proofErr w:type="spellStart"/>
            <w:r w:rsidRPr="0014611D">
              <w:rPr>
                <w:sz w:val="28"/>
                <w:szCs w:val="28"/>
              </w:rPr>
              <w:t>мкмоль</w:t>
            </w:r>
            <w:proofErr w:type="spellEnd"/>
            <w:r w:rsidRPr="0014611D">
              <w:rPr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4,75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2,48</w:t>
            </w:r>
          </w:p>
        </w:tc>
        <w:tc>
          <w:tcPr>
            <w:tcW w:w="1276" w:type="dxa"/>
            <w:vMerge w:val="restart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0,727</w:t>
            </w:r>
          </w:p>
        </w:tc>
      </w:tr>
      <w:tr w:rsidR="005C539C" w:rsidRPr="0014611D" w:rsidTr="00C43913">
        <w:trPr>
          <w:trHeight w:val="330"/>
        </w:trPr>
        <w:tc>
          <w:tcPr>
            <w:tcW w:w="2943" w:type="dxa"/>
            <w:vMerge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4,94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76" w:type="dxa"/>
            <w:vMerge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539C" w:rsidRPr="0014611D" w:rsidTr="00C43913">
        <w:trPr>
          <w:trHeight w:val="382"/>
        </w:trPr>
        <w:tc>
          <w:tcPr>
            <w:tcW w:w="2943" w:type="dxa"/>
            <w:vMerge w:val="restart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lastRenderedPageBreak/>
              <w:t xml:space="preserve">Непрямой билирубин </w:t>
            </w:r>
            <w:r w:rsidRPr="0014611D">
              <w:rPr>
                <w:sz w:val="28"/>
                <w:szCs w:val="28"/>
              </w:rPr>
              <w:t>(</w:t>
            </w:r>
            <w:proofErr w:type="spellStart"/>
            <w:r w:rsidRPr="0014611D">
              <w:rPr>
                <w:sz w:val="28"/>
                <w:szCs w:val="28"/>
              </w:rPr>
              <w:t>мкмоль</w:t>
            </w:r>
            <w:proofErr w:type="spellEnd"/>
            <w:r w:rsidRPr="0014611D">
              <w:rPr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12,75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6,60</w:t>
            </w:r>
          </w:p>
        </w:tc>
        <w:tc>
          <w:tcPr>
            <w:tcW w:w="1276" w:type="dxa"/>
            <w:vMerge w:val="restart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0,281</w:t>
            </w:r>
          </w:p>
        </w:tc>
      </w:tr>
      <w:tr w:rsidR="005C539C" w:rsidRPr="0014611D" w:rsidTr="00C43913">
        <w:trPr>
          <w:trHeight w:val="318"/>
        </w:trPr>
        <w:tc>
          <w:tcPr>
            <w:tcW w:w="2943" w:type="dxa"/>
            <w:vMerge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14,33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6,26</w:t>
            </w:r>
          </w:p>
        </w:tc>
        <w:tc>
          <w:tcPr>
            <w:tcW w:w="1276" w:type="dxa"/>
            <w:vMerge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539C" w:rsidRPr="0014611D" w:rsidTr="00C43913">
        <w:trPr>
          <w:trHeight w:val="318"/>
        </w:trPr>
        <w:tc>
          <w:tcPr>
            <w:tcW w:w="2943" w:type="dxa"/>
            <w:vMerge w:val="restart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 xml:space="preserve">ГГТП </w:t>
            </w:r>
            <w:r w:rsidRPr="0014611D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14611D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14611D">
              <w:rPr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74,47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52,71</w:t>
            </w:r>
          </w:p>
        </w:tc>
        <w:tc>
          <w:tcPr>
            <w:tcW w:w="1276" w:type="dxa"/>
            <w:vMerge w:val="restart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0,583</w:t>
            </w:r>
          </w:p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539C" w:rsidRPr="0014611D" w:rsidTr="00C43913">
        <w:trPr>
          <w:trHeight w:val="318"/>
        </w:trPr>
        <w:tc>
          <w:tcPr>
            <w:tcW w:w="2943" w:type="dxa"/>
            <w:vMerge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78,09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91,01</w:t>
            </w:r>
          </w:p>
        </w:tc>
        <w:tc>
          <w:tcPr>
            <w:tcW w:w="1276" w:type="dxa"/>
            <w:vMerge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539C" w:rsidRPr="0014611D" w:rsidTr="00C43913">
        <w:trPr>
          <w:trHeight w:val="318"/>
        </w:trPr>
        <w:tc>
          <w:tcPr>
            <w:tcW w:w="2943" w:type="dxa"/>
            <w:vMerge w:val="restart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 xml:space="preserve">Щелочная фосфатаза </w:t>
            </w:r>
            <w:r w:rsidRPr="0014611D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14611D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14611D">
              <w:rPr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111,11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50,94</w:t>
            </w:r>
          </w:p>
        </w:tc>
        <w:tc>
          <w:tcPr>
            <w:tcW w:w="1276" w:type="dxa"/>
            <w:vMerge w:val="restart"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0,442</w:t>
            </w:r>
          </w:p>
        </w:tc>
      </w:tr>
      <w:tr w:rsidR="005C539C" w:rsidRPr="0014611D" w:rsidTr="00C43913">
        <w:trPr>
          <w:trHeight w:val="318"/>
        </w:trPr>
        <w:tc>
          <w:tcPr>
            <w:tcW w:w="2943" w:type="dxa"/>
            <w:vMerge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125,34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65,37</w:t>
            </w:r>
          </w:p>
        </w:tc>
        <w:tc>
          <w:tcPr>
            <w:tcW w:w="1276" w:type="dxa"/>
            <w:vMerge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539C" w:rsidRPr="0014611D" w:rsidTr="00C43913">
        <w:trPr>
          <w:trHeight w:val="318"/>
        </w:trPr>
        <w:tc>
          <w:tcPr>
            <w:tcW w:w="2943" w:type="dxa"/>
            <w:vMerge w:val="restart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ФН</w:t>
            </w:r>
            <w:proofErr w:type="gramStart"/>
            <w:r w:rsidRPr="0014611D">
              <w:rPr>
                <w:sz w:val="28"/>
                <w:szCs w:val="28"/>
              </w:rPr>
              <w:t>О-</w:t>
            </w:r>
            <w:proofErr w:type="gramEnd"/>
            <w:r w:rsidRPr="0014611D">
              <w:rPr>
                <w:color w:val="000000"/>
                <w:kern w:val="1"/>
                <w:sz w:val="28"/>
                <w:szCs w:val="28"/>
                <w:highlight w:val="white"/>
              </w:rPr>
              <w:t>α</w:t>
            </w:r>
            <w:r w:rsidRPr="0014611D">
              <w:rPr>
                <w:color w:val="000000"/>
                <w:kern w:val="1"/>
                <w:sz w:val="28"/>
                <w:szCs w:val="28"/>
              </w:rPr>
              <w:t xml:space="preserve"> (</w:t>
            </w:r>
            <w:proofErr w:type="spellStart"/>
            <w:r w:rsidRPr="0014611D">
              <w:rPr>
                <w:color w:val="000000"/>
                <w:kern w:val="1"/>
                <w:sz w:val="28"/>
                <w:szCs w:val="28"/>
              </w:rPr>
              <w:t>пг</w:t>
            </w:r>
            <w:proofErr w:type="spellEnd"/>
            <w:r w:rsidRPr="0014611D">
              <w:rPr>
                <w:color w:val="000000"/>
                <w:kern w:val="1"/>
                <w:sz w:val="28"/>
                <w:szCs w:val="28"/>
              </w:rPr>
              <w:t>/мл)</w:t>
            </w: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2,38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1,21</w:t>
            </w:r>
          </w:p>
        </w:tc>
        <w:tc>
          <w:tcPr>
            <w:tcW w:w="1276" w:type="dxa"/>
            <w:vMerge w:val="restart"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0,477</w:t>
            </w:r>
          </w:p>
        </w:tc>
      </w:tr>
      <w:tr w:rsidR="005C539C" w:rsidRPr="0014611D" w:rsidTr="00C43913">
        <w:trPr>
          <w:trHeight w:val="318"/>
        </w:trPr>
        <w:tc>
          <w:tcPr>
            <w:tcW w:w="2943" w:type="dxa"/>
            <w:vMerge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539C" w:rsidRPr="0014611D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14611D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709" w:type="dxa"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2,27</w:t>
            </w:r>
          </w:p>
        </w:tc>
        <w:tc>
          <w:tcPr>
            <w:tcW w:w="850" w:type="dxa"/>
            <w:noWrap/>
            <w:vAlign w:val="center"/>
          </w:tcPr>
          <w:p w:rsidR="005C539C" w:rsidRPr="0014611D" w:rsidRDefault="005C539C" w:rsidP="00C43913">
            <w:pPr>
              <w:jc w:val="center"/>
              <w:rPr>
                <w:sz w:val="28"/>
                <w:szCs w:val="28"/>
              </w:rPr>
            </w:pPr>
            <w:r w:rsidRPr="0014611D">
              <w:rPr>
                <w:color w:val="000000"/>
                <w:sz w:val="28"/>
                <w:szCs w:val="28"/>
              </w:rPr>
              <w:t>1,52</w:t>
            </w:r>
          </w:p>
        </w:tc>
        <w:tc>
          <w:tcPr>
            <w:tcW w:w="1276" w:type="dxa"/>
            <w:vMerge/>
            <w:vAlign w:val="center"/>
          </w:tcPr>
          <w:p w:rsidR="005C539C" w:rsidRPr="0014611D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C539C" w:rsidRPr="00F46E48" w:rsidRDefault="005C539C" w:rsidP="005C539C">
      <w:pPr>
        <w:ind w:firstLine="426"/>
        <w:jc w:val="both"/>
        <w:rPr>
          <w:sz w:val="26"/>
          <w:szCs w:val="26"/>
        </w:rPr>
      </w:pPr>
    </w:p>
    <w:p w:rsidR="005C539C" w:rsidRDefault="005C539C" w:rsidP="005C539C"/>
    <w:p w:rsidR="00357BE2" w:rsidRPr="003144AD" w:rsidRDefault="00F81CAA" w:rsidP="003146B5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 xml:space="preserve">Не </w:t>
      </w:r>
      <w:r w:rsidR="00357BE2" w:rsidRPr="003144AD">
        <w:rPr>
          <w:sz w:val="28"/>
          <w:szCs w:val="28"/>
        </w:rPr>
        <w:t xml:space="preserve">было </w:t>
      </w:r>
      <w:r w:rsidRPr="003144AD">
        <w:rPr>
          <w:sz w:val="28"/>
          <w:szCs w:val="28"/>
        </w:rPr>
        <w:t>выявлено различий межд</w:t>
      </w:r>
      <w:r w:rsidR="008E4AD8" w:rsidRPr="003144AD">
        <w:rPr>
          <w:sz w:val="28"/>
          <w:szCs w:val="28"/>
        </w:rPr>
        <w:t>у группами и при оценке астении</w:t>
      </w:r>
      <w:r w:rsidRPr="003144AD">
        <w:rPr>
          <w:sz w:val="28"/>
          <w:szCs w:val="28"/>
        </w:rPr>
        <w:t xml:space="preserve">. По шкале </w:t>
      </w:r>
      <w:r w:rsidRPr="003144AD">
        <w:rPr>
          <w:sz w:val="28"/>
          <w:szCs w:val="28"/>
          <w:lang w:val="en-US"/>
        </w:rPr>
        <w:t>MFI</w:t>
      </w:r>
      <w:r w:rsidRPr="003144AD">
        <w:rPr>
          <w:sz w:val="28"/>
          <w:szCs w:val="28"/>
        </w:rPr>
        <w:t xml:space="preserve">-20 получены пограничные результаты между </w:t>
      </w:r>
      <w:proofErr w:type="gramStart"/>
      <w:r w:rsidRPr="003144AD">
        <w:rPr>
          <w:sz w:val="28"/>
          <w:szCs w:val="28"/>
        </w:rPr>
        <w:t>нормальными</w:t>
      </w:r>
      <w:proofErr w:type="gramEnd"/>
      <w:r w:rsidRPr="003144AD">
        <w:rPr>
          <w:sz w:val="28"/>
          <w:szCs w:val="28"/>
        </w:rPr>
        <w:t xml:space="preserve"> и клинически значимыми, что соответствовало данным </w:t>
      </w:r>
      <w:proofErr w:type="spellStart"/>
      <w:r w:rsidRPr="003144AD">
        <w:rPr>
          <w:sz w:val="28"/>
          <w:szCs w:val="28"/>
        </w:rPr>
        <w:t>физикального</w:t>
      </w:r>
      <w:proofErr w:type="spellEnd"/>
      <w:r w:rsidRPr="003144AD">
        <w:rPr>
          <w:sz w:val="28"/>
          <w:szCs w:val="28"/>
        </w:rPr>
        <w:t xml:space="preserve"> обследования больного и оценке лечащим врачом выраженности астеновегетативного синдрома. </w:t>
      </w:r>
    </w:p>
    <w:p w:rsidR="00357BE2" w:rsidRDefault="00357BE2" w:rsidP="00357BE2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 xml:space="preserve">Установлено достоверное снижение активности </w:t>
      </w:r>
      <w:proofErr w:type="spellStart"/>
      <w:r w:rsidRPr="003144AD">
        <w:rPr>
          <w:sz w:val="28"/>
          <w:szCs w:val="28"/>
        </w:rPr>
        <w:t>АлАТ</w:t>
      </w:r>
      <w:proofErr w:type="spellEnd"/>
      <w:r w:rsidRPr="003144AD">
        <w:rPr>
          <w:sz w:val="28"/>
          <w:szCs w:val="28"/>
        </w:rPr>
        <w:t xml:space="preserve"> у больных основной группы уже через 4 недели лечения до нормальных показателей и сохранение их таковыми до окончания лечения и наблюдения (12 недель) (рис.1). При этом активность </w:t>
      </w:r>
      <w:proofErr w:type="spellStart"/>
      <w:r w:rsidRPr="003144AD">
        <w:rPr>
          <w:sz w:val="28"/>
          <w:szCs w:val="28"/>
        </w:rPr>
        <w:t>АлАТ</w:t>
      </w:r>
      <w:proofErr w:type="spellEnd"/>
      <w:r w:rsidRPr="003144AD">
        <w:rPr>
          <w:sz w:val="28"/>
          <w:szCs w:val="28"/>
        </w:rPr>
        <w:t xml:space="preserve"> у больных, получавших препарат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 xml:space="preserve">, достоверно отличалась от показателей пациентов контрольной группы, у которых не зарегистрировано статистически значимого снижения активности фермента в процессе наблюдения (табл. 2). </w:t>
      </w:r>
    </w:p>
    <w:p w:rsidR="005C539C" w:rsidRPr="00757D13" w:rsidRDefault="005C539C" w:rsidP="005C539C">
      <w:pPr>
        <w:spacing w:line="360" w:lineRule="auto"/>
        <w:jc w:val="right"/>
        <w:rPr>
          <w:sz w:val="28"/>
          <w:szCs w:val="28"/>
        </w:rPr>
      </w:pPr>
      <w:r w:rsidRPr="00757D13">
        <w:rPr>
          <w:sz w:val="28"/>
          <w:szCs w:val="28"/>
        </w:rPr>
        <w:t xml:space="preserve">Таблица 2 </w:t>
      </w:r>
    </w:p>
    <w:p w:rsidR="005C539C" w:rsidRPr="00757D13" w:rsidRDefault="005C539C" w:rsidP="005C539C">
      <w:pPr>
        <w:spacing w:line="360" w:lineRule="auto"/>
        <w:jc w:val="center"/>
        <w:rPr>
          <w:sz w:val="28"/>
          <w:szCs w:val="28"/>
        </w:rPr>
      </w:pPr>
      <w:r w:rsidRPr="00757D13">
        <w:rPr>
          <w:sz w:val="28"/>
          <w:szCs w:val="28"/>
        </w:rPr>
        <w:t xml:space="preserve">Активности </w:t>
      </w:r>
      <w:proofErr w:type="spellStart"/>
      <w:r w:rsidRPr="00757D13">
        <w:rPr>
          <w:sz w:val="28"/>
          <w:szCs w:val="28"/>
        </w:rPr>
        <w:t>АлАТ</w:t>
      </w:r>
      <w:proofErr w:type="spellEnd"/>
      <w:r w:rsidRPr="00757D13">
        <w:rPr>
          <w:sz w:val="28"/>
          <w:szCs w:val="28"/>
        </w:rPr>
        <w:t xml:space="preserve"> (</w:t>
      </w:r>
      <w:proofErr w:type="spellStart"/>
      <w:proofErr w:type="gramStart"/>
      <w:r w:rsidRPr="00757D13">
        <w:rPr>
          <w:sz w:val="28"/>
          <w:szCs w:val="28"/>
        </w:rPr>
        <w:t>Ед</w:t>
      </w:r>
      <w:proofErr w:type="spellEnd"/>
      <w:proofErr w:type="gramEnd"/>
      <w:r w:rsidRPr="00757D13">
        <w:rPr>
          <w:sz w:val="28"/>
          <w:szCs w:val="28"/>
        </w:rPr>
        <w:t>/л) у больных основной и контрольной групп на 4 и 12 неделях лечения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4"/>
        <w:gridCol w:w="709"/>
        <w:gridCol w:w="1842"/>
        <w:gridCol w:w="1135"/>
        <w:gridCol w:w="1842"/>
      </w:tblGrid>
      <w:tr w:rsidR="005C539C" w:rsidRPr="00757D13" w:rsidTr="00C43913">
        <w:trPr>
          <w:trHeight w:val="481"/>
        </w:trPr>
        <w:tc>
          <w:tcPr>
            <w:tcW w:w="790" w:type="pct"/>
            <w:vAlign w:val="center"/>
          </w:tcPr>
          <w:p w:rsidR="005C539C" w:rsidRPr="00757D13" w:rsidRDefault="005C539C" w:rsidP="00C43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57D13">
              <w:rPr>
                <w:b/>
                <w:bCs/>
                <w:sz w:val="28"/>
                <w:szCs w:val="28"/>
              </w:rPr>
              <w:t>Визит</w:t>
            </w:r>
          </w:p>
        </w:tc>
        <w:tc>
          <w:tcPr>
            <w:tcW w:w="1053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b/>
                <w:sz w:val="28"/>
                <w:szCs w:val="28"/>
              </w:rPr>
            </w:pPr>
            <w:r w:rsidRPr="00757D1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405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57D13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052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57D13">
              <w:rPr>
                <w:b/>
                <w:bCs/>
                <w:sz w:val="28"/>
                <w:szCs w:val="28"/>
              </w:rPr>
              <w:t>Среднее (М)</w:t>
            </w:r>
          </w:p>
        </w:tc>
        <w:tc>
          <w:tcPr>
            <w:tcW w:w="648" w:type="pct"/>
            <w:vAlign w:val="center"/>
          </w:tcPr>
          <w:p w:rsidR="005C539C" w:rsidRPr="00757D13" w:rsidRDefault="005C539C" w:rsidP="00C43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57D13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1052" w:type="pct"/>
            <w:vAlign w:val="center"/>
          </w:tcPr>
          <w:p w:rsidR="005C539C" w:rsidRPr="00757D13" w:rsidRDefault="005C539C" w:rsidP="00C43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57D13">
              <w:rPr>
                <w:b/>
                <w:bCs/>
                <w:sz w:val="28"/>
                <w:szCs w:val="28"/>
                <w:lang w:val="en-US"/>
              </w:rPr>
              <w:t>p-value</w:t>
            </w:r>
            <w:r w:rsidRPr="00757D13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5C539C" w:rsidRPr="00757D13" w:rsidTr="00C43913">
        <w:trPr>
          <w:trHeight w:val="339"/>
        </w:trPr>
        <w:tc>
          <w:tcPr>
            <w:tcW w:w="790" w:type="pct"/>
            <w:vMerge w:val="restart"/>
            <w:vAlign w:val="center"/>
          </w:tcPr>
          <w:p w:rsidR="005C539C" w:rsidRPr="00757D13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757D13">
              <w:rPr>
                <w:bCs/>
                <w:sz w:val="28"/>
                <w:szCs w:val="28"/>
              </w:rPr>
              <w:t>4 неделя</w:t>
            </w:r>
          </w:p>
        </w:tc>
        <w:tc>
          <w:tcPr>
            <w:tcW w:w="1053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405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52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648" w:type="pct"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20,07</w:t>
            </w:r>
          </w:p>
        </w:tc>
        <w:tc>
          <w:tcPr>
            <w:tcW w:w="1052" w:type="pct"/>
            <w:vMerge w:val="restart"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57D13">
              <w:rPr>
                <w:sz w:val="28"/>
                <w:szCs w:val="28"/>
                <w:lang w:val="en-US"/>
              </w:rPr>
              <w:t>&lt; 0,001</w:t>
            </w:r>
            <w:r w:rsidRPr="00757D13">
              <w:rPr>
                <w:sz w:val="28"/>
                <w:szCs w:val="28"/>
              </w:rPr>
              <w:t>**</w:t>
            </w:r>
          </w:p>
        </w:tc>
      </w:tr>
      <w:tr w:rsidR="005C539C" w:rsidRPr="00757D13" w:rsidTr="00C43913">
        <w:trPr>
          <w:trHeight w:val="287"/>
        </w:trPr>
        <w:tc>
          <w:tcPr>
            <w:tcW w:w="790" w:type="pct"/>
            <w:vMerge/>
            <w:vAlign w:val="center"/>
          </w:tcPr>
          <w:p w:rsidR="005C539C" w:rsidRPr="00757D13" w:rsidRDefault="005C539C" w:rsidP="00C43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3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757D13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405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2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130,84</w:t>
            </w:r>
          </w:p>
        </w:tc>
        <w:tc>
          <w:tcPr>
            <w:tcW w:w="648" w:type="pct"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98,44</w:t>
            </w:r>
          </w:p>
        </w:tc>
        <w:tc>
          <w:tcPr>
            <w:tcW w:w="1052" w:type="pct"/>
            <w:vMerge/>
            <w:vAlign w:val="center"/>
          </w:tcPr>
          <w:p w:rsidR="005C539C" w:rsidRPr="00757D13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539C" w:rsidRPr="00757D13" w:rsidTr="00C43913">
        <w:trPr>
          <w:trHeight w:val="287"/>
        </w:trPr>
        <w:tc>
          <w:tcPr>
            <w:tcW w:w="790" w:type="pct"/>
            <w:vMerge w:val="restart"/>
            <w:vAlign w:val="center"/>
          </w:tcPr>
          <w:p w:rsidR="005C539C" w:rsidRPr="00757D13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757D13">
              <w:rPr>
                <w:bCs/>
                <w:sz w:val="28"/>
                <w:szCs w:val="28"/>
              </w:rPr>
              <w:t>12 неделя</w:t>
            </w:r>
          </w:p>
        </w:tc>
        <w:tc>
          <w:tcPr>
            <w:tcW w:w="1053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405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52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48,34</w:t>
            </w:r>
          </w:p>
        </w:tc>
        <w:tc>
          <w:tcPr>
            <w:tcW w:w="648" w:type="pct"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33,58</w:t>
            </w:r>
          </w:p>
        </w:tc>
        <w:tc>
          <w:tcPr>
            <w:tcW w:w="1052" w:type="pct"/>
            <w:vMerge w:val="restart"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57D13">
              <w:rPr>
                <w:sz w:val="28"/>
                <w:szCs w:val="28"/>
                <w:lang w:val="en-US"/>
              </w:rPr>
              <w:t>&lt; 0,001</w:t>
            </w:r>
            <w:r w:rsidRPr="00757D13">
              <w:rPr>
                <w:sz w:val="28"/>
                <w:szCs w:val="28"/>
              </w:rPr>
              <w:t>**</w:t>
            </w:r>
          </w:p>
        </w:tc>
      </w:tr>
      <w:tr w:rsidR="005C539C" w:rsidRPr="00757D13" w:rsidTr="00C43913">
        <w:trPr>
          <w:trHeight w:val="287"/>
        </w:trPr>
        <w:tc>
          <w:tcPr>
            <w:tcW w:w="790" w:type="pct"/>
            <w:vMerge/>
            <w:vAlign w:val="center"/>
          </w:tcPr>
          <w:p w:rsidR="005C539C" w:rsidRPr="00757D13" w:rsidRDefault="005C539C" w:rsidP="00C43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3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757D13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405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2" w:type="pct"/>
            <w:noWrap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102,58</w:t>
            </w:r>
          </w:p>
        </w:tc>
        <w:tc>
          <w:tcPr>
            <w:tcW w:w="648" w:type="pct"/>
            <w:vAlign w:val="center"/>
          </w:tcPr>
          <w:p w:rsidR="005C539C" w:rsidRPr="00757D13" w:rsidRDefault="005C539C" w:rsidP="00C43913">
            <w:pPr>
              <w:jc w:val="center"/>
              <w:rPr>
                <w:sz w:val="28"/>
                <w:szCs w:val="28"/>
              </w:rPr>
            </w:pPr>
            <w:r w:rsidRPr="00757D13">
              <w:rPr>
                <w:color w:val="000000"/>
                <w:sz w:val="28"/>
                <w:szCs w:val="28"/>
              </w:rPr>
              <w:t>56,12</w:t>
            </w:r>
          </w:p>
        </w:tc>
        <w:tc>
          <w:tcPr>
            <w:tcW w:w="1052" w:type="pct"/>
            <w:vMerge/>
            <w:vAlign w:val="center"/>
          </w:tcPr>
          <w:p w:rsidR="005C539C" w:rsidRPr="00757D13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C539C" w:rsidRPr="00757D13" w:rsidRDefault="005C539C" w:rsidP="005C539C">
      <w:pPr>
        <w:pStyle w:val="a9"/>
        <w:rPr>
          <w:rFonts w:ascii="Times New Roman" w:hAnsi="Times New Roman"/>
          <w:sz w:val="28"/>
          <w:szCs w:val="28"/>
        </w:rPr>
      </w:pPr>
      <w:r w:rsidRPr="00757D13">
        <w:rPr>
          <w:rFonts w:ascii="Times New Roman" w:hAnsi="Times New Roman"/>
          <w:sz w:val="28"/>
          <w:szCs w:val="28"/>
        </w:rPr>
        <w:t>*Оценка данных выполнена путем сравнения средних значений с помощью критерия Манна-Уитни.</w:t>
      </w:r>
    </w:p>
    <w:p w:rsidR="005C539C" w:rsidRPr="00757D13" w:rsidRDefault="005C539C" w:rsidP="005C539C">
      <w:pPr>
        <w:pStyle w:val="a9"/>
        <w:rPr>
          <w:rFonts w:ascii="Times New Roman" w:hAnsi="Times New Roman"/>
          <w:sz w:val="28"/>
          <w:szCs w:val="28"/>
        </w:rPr>
      </w:pPr>
      <w:r w:rsidRPr="00757D13">
        <w:rPr>
          <w:rFonts w:ascii="Times New Roman" w:hAnsi="Times New Roman"/>
          <w:sz w:val="28"/>
          <w:szCs w:val="28"/>
        </w:rPr>
        <w:t>**Различия между группами статистически значимы</w:t>
      </w:r>
    </w:p>
    <w:p w:rsidR="005C539C" w:rsidRPr="00757D13" w:rsidRDefault="005C539C" w:rsidP="005C539C">
      <w:pPr>
        <w:rPr>
          <w:sz w:val="28"/>
          <w:szCs w:val="28"/>
        </w:rPr>
      </w:pPr>
    </w:p>
    <w:p w:rsidR="00F81CAA" w:rsidRDefault="00320EA1" w:rsidP="003146B5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6C191" wp14:editId="637C89F3">
                <wp:simplePos x="0" y="0"/>
                <wp:positionH relativeFrom="column">
                  <wp:posOffset>-807720</wp:posOffset>
                </wp:positionH>
                <wp:positionV relativeFrom="paragraph">
                  <wp:posOffset>1506855</wp:posOffset>
                </wp:positionV>
                <wp:extent cx="659130" cy="276225"/>
                <wp:effectExtent l="11430" t="11430" r="571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DF" w:rsidRDefault="00320FDF" w:rsidP="00320FDF">
                            <w:r>
                              <w:t>Таб.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3.6pt;margin-top:118.65pt;width:51.9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d2JwIAAE8EAAAOAAAAZHJzL2Uyb0RvYy54bWysVNtu2zAMfR+wfxD0vjjxkrQx4hRdugwD&#10;ugvQ7gNkWbaFSaImKbG7ry8lJ1nQDXsY5gdBFKnDo0PS65tBK3IQzkswJZ1NppQIw6GWpi3pt8fd&#10;m2tKfGCmZgqMKOmT8PRm8/rVureFyKEDVQtHEMT4orcl7UKwRZZ53gnN/ASsMOhswGkW0HRtVjvW&#10;I7pWWT6dLrMeXG0dcOE9nt6NTrpJ+E0jePjSNF4EokqK3EJaXVqruGabNStax2wn+ZEG+wcWmkmD&#10;Sc9QdywwsnfyNygtuQMPTZhw0Bk0jeQivQFfM5u+eM1Dx6xIb0FxvD3L5P8fLP98+OqIrEuaU2KY&#10;xhI9iiGQdzCQRVSnt77AoAeLYWHAY6xyeqm398C/e2Jg2zHTilvnoO8Eq5HdLN7MLq6OOD6CVP0n&#10;qDEN2wdIQEPjdJQOxSCIjlV6OlcmUuF4uFysZm/Rw9GVXy3zPHHLWHG6bJ0PHwRoEjcldVj4BM4O&#10;9z5EMqw4hcRcHpSsd1KpZLi22ipHDgybZJe+xP9FmDKkL+lqgbn/DjFN358gtAzY7Urqkl6fg1gR&#10;VXtv6tSLgUk17pGyMkcZo3KjhmGohmNZKqifUFAHY1fjFOKmA/eTkh47uqT+x545QYn6aLAoq9l8&#10;HkcgGfPFVY6Gu/RUlx5mOEKVNFAybrdhHJu9dbLtMNOpDW6xkDuZRI4VH1kdeWPXJu2PExbH4tJO&#10;Ub/+A5tnAAAA//8DAFBLAwQUAAYACAAAACEAt1sU5+AAAAAMAQAADwAAAGRycy9kb3ducmV2Lnht&#10;bEyPwW7CMAyG75P2DpEn7YJKSjqgKk3RhsRpJzp2D43XVjROlwQob7/stB1tf/r9/eV2MgO7ovO9&#10;JQmLeQoMqbG6p1bC8WOf5MB8UKTVYAkl3NHDtnp8KFWh7Y0OeK1Dy2II+UJJ6EIYC85906FRfm5H&#10;pHj7ss6oEEfXcu3ULYabgYs0XXGjeoofOjXirsPmXF+MhNV3nc3eP/WMDvf9m2vMUu+OSymfn6bX&#10;DbCAU/iD4Vc/qkMVnU72QtqzQUKyEGsRWQkiW2fAIpKI7AXYKW7yNAdelfx/ieoHAAD//wMAUEsB&#10;Ai0AFAAGAAgAAAAhALaDOJL+AAAA4QEAABMAAAAAAAAAAAAAAAAAAAAAAFtDb250ZW50X1R5cGVz&#10;XS54bWxQSwECLQAUAAYACAAAACEAOP0h/9YAAACUAQAACwAAAAAAAAAAAAAAAAAvAQAAX3JlbHMv&#10;LnJlbHNQSwECLQAUAAYACAAAACEApvPHdicCAABPBAAADgAAAAAAAAAAAAAAAAAuAgAAZHJzL2Uy&#10;b0RvYy54bWxQSwECLQAUAAYACAAAACEAt1sU5+AAAAAMAQAADwAAAAAAAAAAAAAAAACBBAAAZHJz&#10;L2Rvd25yZXYueG1sUEsFBgAAAAAEAAQA8wAAAI4FAAAAAA==&#10;">
                <v:textbox style="mso-fit-shape-to-text:t">
                  <w:txbxContent>
                    <w:p w:rsidR="00320FDF" w:rsidRDefault="00320FDF" w:rsidP="00320FDF">
                      <w:r>
                        <w:t>Таб. 3.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81CAA" w:rsidRPr="003144AD">
        <w:rPr>
          <w:sz w:val="28"/>
          <w:szCs w:val="28"/>
        </w:rPr>
        <w:t xml:space="preserve">Сравнительная оценка клинических проявлений ХГС до и после проведения 12-недельного курса терапии не выявила статистически значимой </w:t>
      </w:r>
      <w:r w:rsidR="00F81CAA" w:rsidRPr="003144AD">
        <w:rPr>
          <w:sz w:val="28"/>
          <w:szCs w:val="28"/>
        </w:rPr>
        <w:lastRenderedPageBreak/>
        <w:t>динамики внутри каждой группы больных и различий между основной и контрольной группами.</w:t>
      </w:r>
      <w:proofErr w:type="gramEnd"/>
      <w:r w:rsidR="00F81CAA" w:rsidRPr="003144AD">
        <w:rPr>
          <w:sz w:val="28"/>
          <w:szCs w:val="28"/>
        </w:rPr>
        <w:t xml:space="preserve"> В тоже время, средний показатель по </w:t>
      </w:r>
      <w:proofErr w:type="spellStart"/>
      <w:r w:rsidR="00F81CAA" w:rsidRPr="003144AD">
        <w:rPr>
          <w:sz w:val="28"/>
          <w:szCs w:val="28"/>
        </w:rPr>
        <w:t>подшкале</w:t>
      </w:r>
      <w:proofErr w:type="spellEnd"/>
      <w:r w:rsidR="00F81CAA" w:rsidRPr="003144AD">
        <w:rPr>
          <w:sz w:val="28"/>
          <w:szCs w:val="28"/>
        </w:rPr>
        <w:t xml:space="preserve"> «Общая астения» достоверно снизился в группе больных, получавших препарат </w:t>
      </w:r>
      <w:proofErr w:type="spellStart"/>
      <w:r w:rsidR="00F81CAA" w:rsidRPr="003144AD">
        <w:rPr>
          <w:sz w:val="28"/>
          <w:szCs w:val="28"/>
        </w:rPr>
        <w:t>Бициклол</w:t>
      </w:r>
      <w:proofErr w:type="spellEnd"/>
      <w:r w:rsidR="00F81CAA" w:rsidRPr="003144AD">
        <w:rPr>
          <w:sz w:val="28"/>
          <w:szCs w:val="28"/>
        </w:rPr>
        <w:t xml:space="preserve"> (табл. 3). В контрольной группе аналогичный эффект не зарегистрирован. Различий между группами не получено.</w:t>
      </w:r>
    </w:p>
    <w:p w:rsidR="005C539C" w:rsidRPr="006B282E" w:rsidRDefault="005C539C" w:rsidP="005C539C">
      <w:pPr>
        <w:spacing w:line="360" w:lineRule="auto"/>
        <w:jc w:val="right"/>
        <w:rPr>
          <w:sz w:val="28"/>
          <w:szCs w:val="28"/>
        </w:rPr>
      </w:pPr>
      <w:r w:rsidRPr="006B282E">
        <w:rPr>
          <w:sz w:val="28"/>
          <w:szCs w:val="28"/>
        </w:rPr>
        <w:t>Таблица 3</w:t>
      </w:r>
    </w:p>
    <w:p w:rsidR="005C539C" w:rsidRPr="006B282E" w:rsidRDefault="005C539C" w:rsidP="005C539C">
      <w:pPr>
        <w:spacing w:line="360" w:lineRule="auto"/>
        <w:jc w:val="center"/>
        <w:rPr>
          <w:sz w:val="28"/>
          <w:szCs w:val="28"/>
        </w:rPr>
      </w:pPr>
      <w:r w:rsidRPr="006B282E">
        <w:rPr>
          <w:sz w:val="28"/>
          <w:szCs w:val="28"/>
        </w:rPr>
        <w:t xml:space="preserve">Сравнение средних значений результатов тестирования по шкале MFI-20 в исследуемых группах до и после курса терапии препаратом </w:t>
      </w:r>
      <w:proofErr w:type="spellStart"/>
      <w:r w:rsidRPr="006B282E">
        <w:rPr>
          <w:sz w:val="28"/>
          <w:szCs w:val="28"/>
        </w:rPr>
        <w:t>Бициклол</w:t>
      </w:r>
      <w:proofErr w:type="spellEnd"/>
      <w:r w:rsidRPr="006B282E">
        <w:rPr>
          <w:sz w:val="28"/>
          <w:szCs w:val="28"/>
        </w:rPr>
        <w:t>®</w:t>
      </w:r>
    </w:p>
    <w:p w:rsidR="005C539C" w:rsidRPr="006B282E" w:rsidRDefault="005C539C" w:rsidP="005C539C">
      <w:pPr>
        <w:jc w:val="both"/>
        <w:rPr>
          <w:sz w:val="28"/>
          <w:szCs w:val="28"/>
        </w:rPr>
      </w:pPr>
    </w:p>
    <w:p w:rsidR="005C539C" w:rsidRPr="006B282E" w:rsidRDefault="005C539C" w:rsidP="005C539C">
      <w:pPr>
        <w:jc w:val="both"/>
        <w:rPr>
          <w:sz w:val="28"/>
          <w:szCs w:val="28"/>
        </w:rPr>
      </w:pP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983"/>
        <w:gridCol w:w="1572"/>
        <w:gridCol w:w="1799"/>
        <w:gridCol w:w="1307"/>
      </w:tblGrid>
      <w:tr w:rsidR="005C539C" w:rsidRPr="006B282E" w:rsidTr="00C43913">
        <w:trPr>
          <w:trHeight w:val="281"/>
          <w:jc w:val="center"/>
        </w:trPr>
        <w:tc>
          <w:tcPr>
            <w:tcW w:w="1238" w:type="pct"/>
            <w:vMerge w:val="restart"/>
            <w:vAlign w:val="center"/>
          </w:tcPr>
          <w:p w:rsidR="005C539C" w:rsidRPr="006B282E" w:rsidRDefault="005C539C" w:rsidP="00C43913">
            <w:pPr>
              <w:jc w:val="center"/>
              <w:rPr>
                <w:b/>
                <w:sz w:val="28"/>
                <w:szCs w:val="28"/>
              </w:rPr>
            </w:pPr>
            <w:r w:rsidRPr="006B282E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20" w:type="pct"/>
            <w:vMerge w:val="restart"/>
            <w:vAlign w:val="center"/>
          </w:tcPr>
          <w:p w:rsidR="005C539C" w:rsidRPr="006B282E" w:rsidRDefault="005C539C" w:rsidP="00C43913">
            <w:pPr>
              <w:jc w:val="center"/>
              <w:rPr>
                <w:b/>
                <w:sz w:val="28"/>
                <w:szCs w:val="28"/>
              </w:rPr>
            </w:pPr>
            <w:r w:rsidRPr="006B282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904" w:type="pct"/>
            <w:gridSpan w:val="2"/>
          </w:tcPr>
          <w:p w:rsidR="005C539C" w:rsidRPr="006B282E" w:rsidRDefault="005C539C" w:rsidP="00C43913">
            <w:pPr>
              <w:jc w:val="center"/>
              <w:rPr>
                <w:b/>
                <w:sz w:val="28"/>
                <w:szCs w:val="28"/>
              </w:rPr>
            </w:pPr>
            <w:r w:rsidRPr="006B282E">
              <w:rPr>
                <w:b/>
                <w:sz w:val="28"/>
                <w:szCs w:val="28"/>
              </w:rPr>
              <w:t>Средние баллы по шкале MFI-20</w:t>
            </w:r>
          </w:p>
        </w:tc>
        <w:tc>
          <w:tcPr>
            <w:tcW w:w="738" w:type="pct"/>
            <w:vMerge w:val="restart"/>
            <w:vAlign w:val="center"/>
          </w:tcPr>
          <w:p w:rsidR="005C539C" w:rsidRPr="006B282E" w:rsidRDefault="005C539C" w:rsidP="00C4391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B282E">
              <w:rPr>
                <w:b/>
                <w:sz w:val="28"/>
                <w:szCs w:val="28"/>
                <w:lang w:val="en-US"/>
              </w:rPr>
              <w:t>p</w:t>
            </w:r>
            <w:r w:rsidRPr="006B282E">
              <w:rPr>
                <w:b/>
                <w:sz w:val="28"/>
                <w:szCs w:val="28"/>
              </w:rPr>
              <w:t>-</w:t>
            </w:r>
            <w:r w:rsidRPr="006B282E">
              <w:rPr>
                <w:b/>
                <w:sz w:val="28"/>
                <w:szCs w:val="28"/>
                <w:lang w:val="en-US"/>
              </w:rPr>
              <w:t>value</w:t>
            </w:r>
          </w:p>
        </w:tc>
      </w:tr>
      <w:tr w:rsidR="005C539C" w:rsidRPr="006B282E" w:rsidTr="00C43913">
        <w:trPr>
          <w:trHeight w:val="281"/>
          <w:jc w:val="center"/>
        </w:trPr>
        <w:tc>
          <w:tcPr>
            <w:tcW w:w="1238" w:type="pct"/>
            <w:vMerge/>
            <w:vAlign w:val="center"/>
          </w:tcPr>
          <w:p w:rsidR="005C539C" w:rsidRPr="006B282E" w:rsidRDefault="005C539C" w:rsidP="00C43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pct"/>
            <w:vMerge/>
            <w:vAlign w:val="center"/>
          </w:tcPr>
          <w:p w:rsidR="005C539C" w:rsidRPr="006B282E" w:rsidRDefault="005C539C" w:rsidP="00C43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pct"/>
          </w:tcPr>
          <w:p w:rsidR="005C539C" w:rsidRPr="006B282E" w:rsidRDefault="005C539C" w:rsidP="00C43913">
            <w:pPr>
              <w:jc w:val="center"/>
              <w:rPr>
                <w:b/>
                <w:sz w:val="28"/>
                <w:szCs w:val="28"/>
              </w:rPr>
            </w:pPr>
            <w:r w:rsidRPr="006B282E">
              <w:rPr>
                <w:b/>
                <w:sz w:val="28"/>
                <w:szCs w:val="28"/>
              </w:rPr>
              <w:t>до лечения</w:t>
            </w:r>
          </w:p>
        </w:tc>
        <w:tc>
          <w:tcPr>
            <w:tcW w:w="1016" w:type="pct"/>
          </w:tcPr>
          <w:p w:rsidR="005C539C" w:rsidRPr="006B282E" w:rsidRDefault="005C539C" w:rsidP="00C43913">
            <w:pPr>
              <w:jc w:val="center"/>
              <w:rPr>
                <w:b/>
                <w:sz w:val="28"/>
                <w:szCs w:val="28"/>
              </w:rPr>
            </w:pPr>
            <w:r w:rsidRPr="006B282E">
              <w:rPr>
                <w:b/>
                <w:sz w:val="28"/>
                <w:szCs w:val="28"/>
              </w:rPr>
              <w:t>после лечения</w:t>
            </w:r>
          </w:p>
        </w:tc>
        <w:tc>
          <w:tcPr>
            <w:tcW w:w="738" w:type="pct"/>
            <w:vMerge/>
            <w:vAlign w:val="center"/>
          </w:tcPr>
          <w:p w:rsidR="005C539C" w:rsidRPr="006B282E" w:rsidRDefault="005C539C" w:rsidP="00C4391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C539C" w:rsidRPr="006B282E" w:rsidTr="00C43913">
        <w:trPr>
          <w:trHeight w:val="85"/>
          <w:jc w:val="center"/>
        </w:trPr>
        <w:tc>
          <w:tcPr>
            <w:tcW w:w="1238" w:type="pct"/>
            <w:vMerge w:val="restart"/>
            <w:vAlign w:val="center"/>
          </w:tcPr>
          <w:p w:rsidR="005C539C" w:rsidRPr="006B282E" w:rsidRDefault="005C539C" w:rsidP="00C43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82E">
              <w:rPr>
                <w:sz w:val="28"/>
                <w:szCs w:val="28"/>
              </w:rPr>
              <w:t>Общая астения</w:t>
            </w: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Основная</w:t>
            </w:r>
            <w:r w:rsidRPr="006B282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11,82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10,26</w:t>
            </w:r>
          </w:p>
        </w:tc>
        <w:tc>
          <w:tcPr>
            <w:tcW w:w="73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6B282E">
              <w:rPr>
                <w:sz w:val="28"/>
                <w:szCs w:val="28"/>
              </w:rPr>
              <w:t>0,006**</w:t>
            </w:r>
          </w:p>
        </w:tc>
      </w:tr>
      <w:tr w:rsidR="005C539C" w:rsidRPr="006B282E" w:rsidTr="00C43913">
        <w:trPr>
          <w:trHeight w:val="85"/>
          <w:jc w:val="center"/>
        </w:trPr>
        <w:tc>
          <w:tcPr>
            <w:tcW w:w="1238" w:type="pct"/>
            <w:vMerge/>
            <w:vAlign w:val="center"/>
          </w:tcPr>
          <w:p w:rsidR="005C539C" w:rsidRPr="006B282E" w:rsidRDefault="005C539C" w:rsidP="00C43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6B282E">
              <w:rPr>
                <w:bCs/>
                <w:sz w:val="28"/>
                <w:szCs w:val="28"/>
              </w:rPr>
              <w:t>Контрольная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11,88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73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lang w:val="en-US"/>
              </w:rPr>
            </w:pPr>
            <w:r w:rsidRPr="006B282E">
              <w:rPr>
                <w:color w:val="000000"/>
                <w:sz w:val="28"/>
                <w:szCs w:val="28"/>
              </w:rPr>
              <w:t>0,173</w:t>
            </w:r>
          </w:p>
        </w:tc>
      </w:tr>
      <w:tr w:rsidR="005C539C" w:rsidRPr="006B282E" w:rsidTr="00C43913">
        <w:trPr>
          <w:trHeight w:val="290"/>
          <w:jc w:val="center"/>
        </w:trPr>
        <w:tc>
          <w:tcPr>
            <w:tcW w:w="1238" w:type="pct"/>
            <w:vMerge w:val="restart"/>
            <w:vAlign w:val="center"/>
          </w:tcPr>
          <w:p w:rsidR="005C539C" w:rsidRPr="006B282E" w:rsidRDefault="005C539C" w:rsidP="00C43913">
            <w:pPr>
              <w:rPr>
                <w:sz w:val="28"/>
                <w:szCs w:val="28"/>
              </w:rPr>
            </w:pPr>
            <w:r w:rsidRPr="006B282E">
              <w:rPr>
                <w:sz w:val="28"/>
                <w:szCs w:val="28"/>
              </w:rPr>
              <w:t>Физическая астения</w:t>
            </w: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Основная</w:t>
            </w:r>
            <w:r w:rsidRPr="006B282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10,53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11,29</w:t>
            </w:r>
          </w:p>
        </w:tc>
        <w:tc>
          <w:tcPr>
            <w:tcW w:w="73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lang w:val="en-US"/>
              </w:rPr>
            </w:pPr>
            <w:r w:rsidRPr="006B282E">
              <w:rPr>
                <w:sz w:val="28"/>
                <w:szCs w:val="28"/>
              </w:rPr>
              <w:t>0,120</w:t>
            </w:r>
          </w:p>
        </w:tc>
      </w:tr>
      <w:tr w:rsidR="005C539C" w:rsidRPr="006B282E" w:rsidTr="00C43913">
        <w:trPr>
          <w:trHeight w:val="193"/>
          <w:jc w:val="center"/>
        </w:trPr>
        <w:tc>
          <w:tcPr>
            <w:tcW w:w="1238" w:type="pct"/>
            <w:vMerge/>
            <w:vAlign w:val="center"/>
          </w:tcPr>
          <w:p w:rsidR="005C539C" w:rsidRPr="006B282E" w:rsidRDefault="005C539C" w:rsidP="00C43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6B282E">
              <w:rPr>
                <w:bCs/>
                <w:sz w:val="28"/>
                <w:szCs w:val="28"/>
              </w:rPr>
              <w:t>Контрольная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10,71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10,29</w:t>
            </w:r>
          </w:p>
        </w:tc>
        <w:tc>
          <w:tcPr>
            <w:tcW w:w="73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lang w:val="en-US"/>
              </w:rPr>
            </w:pPr>
            <w:r w:rsidRPr="006B282E">
              <w:rPr>
                <w:color w:val="000000"/>
                <w:sz w:val="28"/>
                <w:szCs w:val="28"/>
              </w:rPr>
              <w:t>0,463</w:t>
            </w:r>
          </w:p>
        </w:tc>
      </w:tr>
      <w:tr w:rsidR="005C539C" w:rsidRPr="006B282E" w:rsidTr="00C43913">
        <w:trPr>
          <w:trHeight w:val="256"/>
          <w:jc w:val="center"/>
        </w:trPr>
        <w:tc>
          <w:tcPr>
            <w:tcW w:w="1238" w:type="pct"/>
            <w:vMerge w:val="restart"/>
            <w:vAlign w:val="center"/>
          </w:tcPr>
          <w:p w:rsidR="005C539C" w:rsidRPr="006B282E" w:rsidRDefault="005C539C" w:rsidP="00C43913">
            <w:pPr>
              <w:rPr>
                <w:sz w:val="28"/>
                <w:szCs w:val="28"/>
              </w:rPr>
            </w:pPr>
            <w:r w:rsidRPr="006B282E">
              <w:rPr>
                <w:sz w:val="28"/>
                <w:szCs w:val="28"/>
              </w:rPr>
              <w:t>Снижение активности</w:t>
            </w: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Основная</w:t>
            </w:r>
            <w:r w:rsidRPr="006B282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11,41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10,65</w:t>
            </w:r>
          </w:p>
        </w:tc>
        <w:tc>
          <w:tcPr>
            <w:tcW w:w="73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lang w:val="en-US"/>
              </w:rPr>
            </w:pPr>
            <w:r w:rsidRPr="006B282E">
              <w:rPr>
                <w:sz w:val="28"/>
                <w:szCs w:val="28"/>
              </w:rPr>
              <w:t>0,233</w:t>
            </w:r>
          </w:p>
        </w:tc>
      </w:tr>
      <w:tr w:rsidR="005C539C" w:rsidRPr="006B282E" w:rsidTr="00C43913">
        <w:trPr>
          <w:trHeight w:val="260"/>
          <w:jc w:val="center"/>
        </w:trPr>
        <w:tc>
          <w:tcPr>
            <w:tcW w:w="1238" w:type="pct"/>
            <w:vMerge/>
            <w:vAlign w:val="center"/>
          </w:tcPr>
          <w:p w:rsidR="005C539C" w:rsidRPr="006B282E" w:rsidRDefault="005C539C" w:rsidP="00C43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6B282E">
              <w:rPr>
                <w:bCs/>
                <w:sz w:val="28"/>
                <w:szCs w:val="28"/>
              </w:rPr>
              <w:t>Контрольная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10,82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73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lang w:val="en-US"/>
              </w:rPr>
            </w:pPr>
            <w:r w:rsidRPr="006B282E">
              <w:rPr>
                <w:color w:val="000000"/>
                <w:sz w:val="28"/>
                <w:szCs w:val="28"/>
              </w:rPr>
              <w:t>0,079</w:t>
            </w:r>
          </w:p>
        </w:tc>
      </w:tr>
      <w:tr w:rsidR="005C539C" w:rsidRPr="006B282E" w:rsidTr="00C43913">
        <w:trPr>
          <w:trHeight w:val="250"/>
          <w:jc w:val="center"/>
        </w:trPr>
        <w:tc>
          <w:tcPr>
            <w:tcW w:w="1238" w:type="pct"/>
            <w:vMerge w:val="restart"/>
            <w:vAlign w:val="center"/>
          </w:tcPr>
          <w:p w:rsidR="005C539C" w:rsidRPr="006B282E" w:rsidRDefault="005C539C" w:rsidP="00C43913">
            <w:pPr>
              <w:rPr>
                <w:bCs/>
                <w:sz w:val="28"/>
                <w:szCs w:val="28"/>
              </w:rPr>
            </w:pPr>
            <w:r w:rsidRPr="006B282E">
              <w:rPr>
                <w:sz w:val="28"/>
                <w:szCs w:val="28"/>
              </w:rPr>
              <w:t>Снижение мотивации</w:t>
            </w: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Основная</w:t>
            </w:r>
            <w:r w:rsidRPr="006B282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8,38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8,18</w:t>
            </w:r>
          </w:p>
        </w:tc>
        <w:tc>
          <w:tcPr>
            <w:tcW w:w="73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lang w:val="en-US"/>
              </w:rPr>
            </w:pPr>
            <w:r w:rsidRPr="006B282E">
              <w:rPr>
                <w:sz w:val="28"/>
                <w:szCs w:val="28"/>
              </w:rPr>
              <w:t>0,734</w:t>
            </w:r>
          </w:p>
        </w:tc>
      </w:tr>
      <w:tr w:rsidR="005C539C" w:rsidRPr="006B282E" w:rsidTr="00C43913">
        <w:trPr>
          <w:trHeight w:val="314"/>
          <w:jc w:val="center"/>
        </w:trPr>
        <w:tc>
          <w:tcPr>
            <w:tcW w:w="1238" w:type="pct"/>
            <w:vMerge/>
            <w:vAlign w:val="center"/>
          </w:tcPr>
          <w:p w:rsidR="005C539C" w:rsidRPr="006B282E" w:rsidRDefault="005C539C" w:rsidP="00C43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6B282E">
              <w:rPr>
                <w:bCs/>
                <w:sz w:val="28"/>
                <w:szCs w:val="28"/>
              </w:rPr>
              <w:t>Контрольная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9,18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8,76</w:t>
            </w:r>
          </w:p>
        </w:tc>
        <w:tc>
          <w:tcPr>
            <w:tcW w:w="73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lang w:val="en-US"/>
              </w:rPr>
            </w:pPr>
            <w:r w:rsidRPr="006B282E">
              <w:rPr>
                <w:color w:val="000000"/>
                <w:sz w:val="28"/>
                <w:szCs w:val="28"/>
              </w:rPr>
              <w:t>0,510</w:t>
            </w:r>
          </w:p>
        </w:tc>
      </w:tr>
      <w:tr w:rsidR="005C539C" w:rsidRPr="006B282E" w:rsidTr="00C43913">
        <w:trPr>
          <w:trHeight w:val="215"/>
          <w:jc w:val="center"/>
        </w:trPr>
        <w:tc>
          <w:tcPr>
            <w:tcW w:w="1238" w:type="pct"/>
            <w:vMerge w:val="restart"/>
            <w:vAlign w:val="center"/>
          </w:tcPr>
          <w:p w:rsidR="005C539C" w:rsidRPr="006B282E" w:rsidRDefault="005C539C" w:rsidP="00C43913">
            <w:pPr>
              <w:rPr>
                <w:sz w:val="28"/>
                <w:szCs w:val="28"/>
              </w:rPr>
            </w:pPr>
            <w:r w:rsidRPr="006B282E">
              <w:rPr>
                <w:sz w:val="28"/>
                <w:szCs w:val="28"/>
              </w:rPr>
              <w:t>Психическая астения</w:t>
            </w: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Основная</w:t>
            </w:r>
            <w:r w:rsidRPr="006B282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8,97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9,65</w:t>
            </w:r>
          </w:p>
        </w:tc>
        <w:tc>
          <w:tcPr>
            <w:tcW w:w="73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lang w:val="en-US"/>
              </w:rPr>
            </w:pPr>
            <w:r w:rsidRPr="006B282E">
              <w:rPr>
                <w:sz w:val="28"/>
                <w:szCs w:val="28"/>
              </w:rPr>
              <w:t>0,374</w:t>
            </w:r>
          </w:p>
        </w:tc>
      </w:tr>
      <w:tr w:rsidR="005C539C" w:rsidRPr="006B282E" w:rsidTr="00C43913">
        <w:trPr>
          <w:trHeight w:val="267"/>
          <w:jc w:val="center"/>
        </w:trPr>
        <w:tc>
          <w:tcPr>
            <w:tcW w:w="1238" w:type="pct"/>
            <w:vMerge/>
            <w:vAlign w:val="center"/>
          </w:tcPr>
          <w:p w:rsidR="005C539C" w:rsidRPr="006B282E" w:rsidRDefault="005C539C" w:rsidP="00C43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6B282E">
              <w:rPr>
                <w:bCs/>
                <w:sz w:val="28"/>
                <w:szCs w:val="28"/>
              </w:rPr>
              <w:t>Контрольная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8,06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9,53</w:t>
            </w:r>
          </w:p>
        </w:tc>
        <w:tc>
          <w:tcPr>
            <w:tcW w:w="73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lang w:val="en-US"/>
              </w:rPr>
            </w:pPr>
            <w:r w:rsidRPr="006B282E">
              <w:rPr>
                <w:color w:val="000000"/>
                <w:sz w:val="28"/>
                <w:szCs w:val="28"/>
              </w:rPr>
              <w:t>0,134</w:t>
            </w:r>
          </w:p>
        </w:tc>
      </w:tr>
      <w:tr w:rsidR="005C539C" w:rsidRPr="006B282E" w:rsidTr="00C43913">
        <w:trPr>
          <w:trHeight w:val="130"/>
          <w:jc w:val="center"/>
        </w:trPr>
        <w:tc>
          <w:tcPr>
            <w:tcW w:w="1238" w:type="pct"/>
            <w:vMerge w:val="restart"/>
            <w:vAlign w:val="center"/>
          </w:tcPr>
          <w:p w:rsidR="005C539C" w:rsidRPr="006B282E" w:rsidRDefault="005C539C" w:rsidP="00C43913">
            <w:pPr>
              <w:rPr>
                <w:bCs/>
                <w:sz w:val="28"/>
                <w:szCs w:val="28"/>
              </w:rPr>
            </w:pPr>
            <w:r w:rsidRPr="006B282E">
              <w:rPr>
                <w:sz w:val="28"/>
                <w:szCs w:val="28"/>
              </w:rPr>
              <w:t>Общий балл</w:t>
            </w: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Основная</w:t>
            </w:r>
            <w:r w:rsidRPr="006B282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51,12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73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lang w:val="en-US"/>
              </w:rPr>
            </w:pPr>
            <w:r w:rsidRPr="006B282E">
              <w:rPr>
                <w:sz w:val="28"/>
                <w:szCs w:val="28"/>
              </w:rPr>
              <w:t>0,399</w:t>
            </w:r>
          </w:p>
        </w:tc>
      </w:tr>
      <w:tr w:rsidR="005C539C" w:rsidRPr="006B282E" w:rsidTr="00C43913">
        <w:trPr>
          <w:trHeight w:val="119"/>
          <w:jc w:val="center"/>
        </w:trPr>
        <w:tc>
          <w:tcPr>
            <w:tcW w:w="1238" w:type="pct"/>
            <w:vMerge/>
            <w:vAlign w:val="center"/>
          </w:tcPr>
          <w:p w:rsidR="005C539C" w:rsidRPr="006B282E" w:rsidRDefault="005C539C" w:rsidP="00C43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5C539C" w:rsidRPr="006B282E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6B282E">
              <w:rPr>
                <w:bCs/>
                <w:sz w:val="28"/>
                <w:szCs w:val="28"/>
              </w:rPr>
              <w:t>Контрольная</w:t>
            </w:r>
          </w:p>
        </w:tc>
        <w:tc>
          <w:tcPr>
            <w:tcW w:w="888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50,76</w:t>
            </w:r>
          </w:p>
        </w:tc>
        <w:tc>
          <w:tcPr>
            <w:tcW w:w="1016" w:type="pct"/>
            <w:vAlign w:val="center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</w:rPr>
            </w:pPr>
            <w:r w:rsidRPr="006B282E">
              <w:rPr>
                <w:color w:val="000000"/>
                <w:sz w:val="28"/>
                <w:szCs w:val="28"/>
              </w:rPr>
              <w:t>48,94</w:t>
            </w:r>
          </w:p>
        </w:tc>
        <w:tc>
          <w:tcPr>
            <w:tcW w:w="738" w:type="pct"/>
          </w:tcPr>
          <w:p w:rsidR="005C539C" w:rsidRPr="006B282E" w:rsidRDefault="005C539C" w:rsidP="00C43913">
            <w:pPr>
              <w:jc w:val="center"/>
              <w:rPr>
                <w:sz w:val="28"/>
                <w:szCs w:val="28"/>
                <w:lang w:val="en-US"/>
              </w:rPr>
            </w:pPr>
            <w:r w:rsidRPr="006B282E">
              <w:rPr>
                <w:color w:val="000000"/>
                <w:sz w:val="28"/>
                <w:szCs w:val="28"/>
              </w:rPr>
              <w:t>0,326</w:t>
            </w:r>
          </w:p>
        </w:tc>
      </w:tr>
    </w:tbl>
    <w:p w:rsidR="005C539C" w:rsidRPr="006B282E" w:rsidRDefault="005C539C" w:rsidP="005C539C">
      <w:pPr>
        <w:suppressAutoHyphens/>
        <w:ind w:right="10"/>
        <w:jc w:val="both"/>
        <w:rPr>
          <w:sz w:val="28"/>
          <w:szCs w:val="28"/>
          <w:u w:val="single"/>
          <w:lang w:eastAsia="zh-CN"/>
        </w:rPr>
      </w:pPr>
    </w:p>
    <w:p w:rsidR="005C539C" w:rsidRPr="006B282E" w:rsidRDefault="005C539C" w:rsidP="005C539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282E">
        <w:rPr>
          <w:rFonts w:ascii="Times New Roman" w:hAnsi="Times New Roman"/>
          <w:sz w:val="28"/>
          <w:szCs w:val="28"/>
        </w:rPr>
        <w:t xml:space="preserve">*Оценка данных выполнена путем внутригруппового попарного сравнения средних значений, полученных на двух визитах, с помощью теста </w:t>
      </w:r>
      <w:proofErr w:type="spellStart"/>
      <w:r w:rsidRPr="006B282E">
        <w:rPr>
          <w:rFonts w:ascii="Times New Roman" w:hAnsi="Times New Roman"/>
          <w:sz w:val="28"/>
          <w:szCs w:val="28"/>
        </w:rPr>
        <w:t>Вилкоксона</w:t>
      </w:r>
      <w:proofErr w:type="spellEnd"/>
      <w:r w:rsidRPr="006B282E">
        <w:rPr>
          <w:rFonts w:ascii="Times New Roman" w:hAnsi="Times New Roman"/>
          <w:sz w:val="28"/>
          <w:szCs w:val="28"/>
        </w:rPr>
        <w:t xml:space="preserve"> </w:t>
      </w:r>
    </w:p>
    <w:p w:rsidR="005C539C" w:rsidRPr="006B282E" w:rsidRDefault="005C539C" w:rsidP="005C539C">
      <w:pPr>
        <w:jc w:val="both"/>
        <w:rPr>
          <w:sz w:val="28"/>
          <w:szCs w:val="28"/>
        </w:rPr>
      </w:pPr>
      <w:r w:rsidRPr="006B282E">
        <w:rPr>
          <w:sz w:val="28"/>
          <w:szCs w:val="28"/>
        </w:rPr>
        <w:t>** Различия статистически значимы</w:t>
      </w:r>
    </w:p>
    <w:p w:rsidR="005C539C" w:rsidRPr="003144AD" w:rsidRDefault="005C539C" w:rsidP="003146B5">
      <w:pPr>
        <w:widowControl w:val="0"/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:rsidR="00F81CAA" w:rsidRDefault="00F81CAA" w:rsidP="003146B5">
      <w:pPr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>Не выявлено различий между пациентами обеих групп в значении других биохимических показателей к окончани</w:t>
      </w:r>
      <w:r w:rsidR="00320FDF" w:rsidRPr="003144AD">
        <w:rPr>
          <w:sz w:val="28"/>
          <w:szCs w:val="28"/>
        </w:rPr>
        <w:t>ю лечения и наблюдения больных</w:t>
      </w:r>
      <w:r w:rsidRPr="003144AD">
        <w:rPr>
          <w:sz w:val="28"/>
          <w:szCs w:val="28"/>
        </w:rPr>
        <w:t>. В то</w:t>
      </w:r>
      <w:r w:rsidR="00637BD2" w:rsidRPr="003144AD">
        <w:rPr>
          <w:sz w:val="28"/>
          <w:szCs w:val="28"/>
        </w:rPr>
        <w:t xml:space="preserve"> </w:t>
      </w:r>
      <w:r w:rsidRPr="003144AD">
        <w:rPr>
          <w:sz w:val="28"/>
          <w:szCs w:val="28"/>
        </w:rPr>
        <w:t xml:space="preserve">же время, показано статистически значимое снижение активности </w:t>
      </w:r>
      <w:proofErr w:type="spellStart"/>
      <w:r w:rsidRPr="003144AD">
        <w:rPr>
          <w:sz w:val="28"/>
          <w:szCs w:val="28"/>
        </w:rPr>
        <w:t>АсАТ</w:t>
      </w:r>
      <w:proofErr w:type="spellEnd"/>
      <w:r w:rsidRPr="003144AD">
        <w:rPr>
          <w:sz w:val="28"/>
          <w:szCs w:val="28"/>
        </w:rPr>
        <w:t xml:space="preserve"> и концентрации непрямого и общего билирубина у больных, получающих препарат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 xml:space="preserve"> на 12 неделе лечения (</w:t>
      </w:r>
      <w:r w:rsidR="00A824EF" w:rsidRPr="003144AD">
        <w:rPr>
          <w:sz w:val="28"/>
          <w:szCs w:val="28"/>
        </w:rPr>
        <w:t>табл.4</w:t>
      </w:r>
      <w:r w:rsidRPr="003144AD">
        <w:rPr>
          <w:sz w:val="28"/>
          <w:szCs w:val="28"/>
        </w:rPr>
        <w:t>).</w:t>
      </w:r>
    </w:p>
    <w:p w:rsidR="005C539C" w:rsidRPr="00A6754C" w:rsidRDefault="005C539C" w:rsidP="005C539C">
      <w:pPr>
        <w:spacing w:line="360" w:lineRule="auto"/>
        <w:jc w:val="right"/>
        <w:rPr>
          <w:sz w:val="28"/>
          <w:szCs w:val="28"/>
        </w:rPr>
      </w:pPr>
      <w:r w:rsidRPr="00A6754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</w:p>
    <w:p w:rsidR="005C539C" w:rsidRPr="00A6754C" w:rsidRDefault="005C539C" w:rsidP="005C539C">
      <w:pPr>
        <w:spacing w:line="360" w:lineRule="auto"/>
        <w:jc w:val="center"/>
        <w:rPr>
          <w:sz w:val="28"/>
          <w:szCs w:val="28"/>
        </w:rPr>
      </w:pPr>
      <w:r w:rsidRPr="00A6754C">
        <w:rPr>
          <w:sz w:val="28"/>
          <w:szCs w:val="28"/>
        </w:rPr>
        <w:t xml:space="preserve">Сравнение средних значений активности </w:t>
      </w:r>
      <w:proofErr w:type="spellStart"/>
      <w:r w:rsidRPr="00A6754C">
        <w:rPr>
          <w:sz w:val="28"/>
          <w:szCs w:val="28"/>
        </w:rPr>
        <w:t>АсАТ</w:t>
      </w:r>
      <w:proofErr w:type="spellEnd"/>
      <w:r w:rsidRPr="00A6754C">
        <w:rPr>
          <w:sz w:val="28"/>
          <w:szCs w:val="28"/>
        </w:rPr>
        <w:t xml:space="preserve"> и концентрации билирубина в исследуемых группах до и после курса терапии препаратом </w:t>
      </w:r>
      <w:proofErr w:type="spellStart"/>
      <w:r w:rsidRPr="00A6754C">
        <w:rPr>
          <w:sz w:val="28"/>
          <w:szCs w:val="28"/>
        </w:rPr>
        <w:t>Бициклол</w:t>
      </w:r>
      <w:proofErr w:type="spellEnd"/>
      <w:r w:rsidRPr="00A6754C">
        <w:rPr>
          <w:sz w:val="28"/>
          <w:szCs w:val="28"/>
        </w:rPr>
        <w:t>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820"/>
        <w:gridCol w:w="1679"/>
        <w:gridCol w:w="2062"/>
        <w:gridCol w:w="1129"/>
      </w:tblGrid>
      <w:tr w:rsidR="005C539C" w:rsidRPr="00A6754C" w:rsidTr="00C43913">
        <w:trPr>
          <w:trHeight w:val="281"/>
          <w:jc w:val="center"/>
        </w:trPr>
        <w:tc>
          <w:tcPr>
            <w:tcW w:w="1505" w:type="pct"/>
            <w:vMerge w:val="restart"/>
            <w:vAlign w:val="center"/>
          </w:tcPr>
          <w:p w:rsidR="005C539C" w:rsidRPr="00A6754C" w:rsidRDefault="005C539C" w:rsidP="00C43913">
            <w:pPr>
              <w:jc w:val="center"/>
              <w:rPr>
                <w:b/>
                <w:sz w:val="28"/>
                <w:szCs w:val="28"/>
              </w:rPr>
            </w:pPr>
            <w:r w:rsidRPr="00A6754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51" w:type="pct"/>
            <w:vMerge w:val="restart"/>
            <w:vAlign w:val="center"/>
          </w:tcPr>
          <w:p w:rsidR="005C539C" w:rsidRPr="00A6754C" w:rsidRDefault="005C539C" w:rsidP="00C43913">
            <w:pPr>
              <w:jc w:val="center"/>
              <w:rPr>
                <w:b/>
                <w:sz w:val="28"/>
                <w:szCs w:val="28"/>
              </w:rPr>
            </w:pPr>
            <w:r w:rsidRPr="00A6754C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953" w:type="pct"/>
            <w:gridSpan w:val="2"/>
          </w:tcPr>
          <w:p w:rsidR="005C539C" w:rsidRPr="00A6754C" w:rsidRDefault="005C539C" w:rsidP="00C43913">
            <w:pPr>
              <w:jc w:val="center"/>
              <w:rPr>
                <w:b/>
                <w:sz w:val="28"/>
                <w:szCs w:val="28"/>
              </w:rPr>
            </w:pPr>
            <w:r w:rsidRPr="00A6754C">
              <w:rPr>
                <w:b/>
                <w:sz w:val="28"/>
                <w:szCs w:val="28"/>
              </w:rPr>
              <w:t>Значение показателя</w:t>
            </w:r>
          </w:p>
        </w:tc>
        <w:tc>
          <w:tcPr>
            <w:tcW w:w="591" w:type="pct"/>
            <w:vMerge w:val="restart"/>
            <w:vAlign w:val="center"/>
          </w:tcPr>
          <w:p w:rsidR="005C539C" w:rsidRPr="00A6754C" w:rsidRDefault="005C539C" w:rsidP="00C4391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6754C">
              <w:rPr>
                <w:b/>
                <w:sz w:val="28"/>
                <w:szCs w:val="28"/>
                <w:lang w:val="en-US"/>
              </w:rPr>
              <w:t>p</w:t>
            </w:r>
            <w:r w:rsidRPr="00A6754C">
              <w:rPr>
                <w:b/>
                <w:sz w:val="28"/>
                <w:szCs w:val="28"/>
              </w:rPr>
              <w:t>-</w:t>
            </w:r>
            <w:r w:rsidRPr="00A6754C">
              <w:rPr>
                <w:b/>
                <w:sz w:val="28"/>
                <w:szCs w:val="28"/>
                <w:lang w:val="en-US"/>
              </w:rPr>
              <w:t>value</w:t>
            </w:r>
            <w:r w:rsidRPr="00A6754C">
              <w:rPr>
                <w:b/>
                <w:sz w:val="28"/>
                <w:szCs w:val="28"/>
              </w:rPr>
              <w:t>*</w:t>
            </w:r>
          </w:p>
        </w:tc>
      </w:tr>
      <w:tr w:rsidR="005C539C" w:rsidRPr="00A6754C" w:rsidTr="00C43913">
        <w:trPr>
          <w:trHeight w:val="281"/>
          <w:jc w:val="center"/>
        </w:trPr>
        <w:tc>
          <w:tcPr>
            <w:tcW w:w="1505" w:type="pct"/>
            <w:vMerge/>
            <w:vAlign w:val="center"/>
          </w:tcPr>
          <w:p w:rsidR="005C539C" w:rsidRPr="00A6754C" w:rsidRDefault="005C539C" w:rsidP="00C43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pct"/>
            <w:vMerge/>
            <w:vAlign w:val="center"/>
          </w:tcPr>
          <w:p w:rsidR="005C539C" w:rsidRPr="00A6754C" w:rsidRDefault="005C539C" w:rsidP="00C43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pct"/>
          </w:tcPr>
          <w:p w:rsidR="005C539C" w:rsidRPr="00A6754C" w:rsidRDefault="005C539C" w:rsidP="00C43913">
            <w:pPr>
              <w:jc w:val="center"/>
              <w:rPr>
                <w:b/>
                <w:sz w:val="28"/>
                <w:szCs w:val="28"/>
              </w:rPr>
            </w:pPr>
            <w:r w:rsidRPr="00A6754C">
              <w:rPr>
                <w:b/>
                <w:sz w:val="28"/>
                <w:szCs w:val="28"/>
              </w:rPr>
              <w:t>до лечения</w:t>
            </w:r>
          </w:p>
        </w:tc>
        <w:tc>
          <w:tcPr>
            <w:tcW w:w="1077" w:type="pct"/>
          </w:tcPr>
          <w:p w:rsidR="005C539C" w:rsidRPr="00A6754C" w:rsidRDefault="005C539C" w:rsidP="00C43913">
            <w:pPr>
              <w:jc w:val="center"/>
              <w:rPr>
                <w:b/>
                <w:sz w:val="28"/>
                <w:szCs w:val="28"/>
              </w:rPr>
            </w:pPr>
            <w:r w:rsidRPr="00A6754C">
              <w:rPr>
                <w:b/>
                <w:sz w:val="28"/>
                <w:szCs w:val="28"/>
              </w:rPr>
              <w:t>после лечения</w:t>
            </w:r>
          </w:p>
        </w:tc>
        <w:tc>
          <w:tcPr>
            <w:tcW w:w="591" w:type="pct"/>
            <w:vMerge/>
            <w:vAlign w:val="center"/>
          </w:tcPr>
          <w:p w:rsidR="005C539C" w:rsidRPr="00A6754C" w:rsidRDefault="005C539C" w:rsidP="00C4391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C539C" w:rsidRPr="00A6754C" w:rsidTr="00C43913">
        <w:trPr>
          <w:trHeight w:val="85"/>
          <w:jc w:val="center"/>
        </w:trPr>
        <w:tc>
          <w:tcPr>
            <w:tcW w:w="1505" w:type="pct"/>
            <w:vMerge w:val="restart"/>
            <w:vAlign w:val="center"/>
          </w:tcPr>
          <w:p w:rsidR="005C539C" w:rsidRPr="00A6754C" w:rsidRDefault="005C539C" w:rsidP="00C43913">
            <w:pPr>
              <w:rPr>
                <w:bCs/>
                <w:sz w:val="28"/>
                <w:szCs w:val="28"/>
              </w:rPr>
            </w:pPr>
            <w:proofErr w:type="spellStart"/>
            <w:r w:rsidRPr="00A6754C">
              <w:rPr>
                <w:bCs/>
                <w:sz w:val="28"/>
                <w:szCs w:val="28"/>
              </w:rPr>
              <w:t>АсАТ</w:t>
            </w:r>
            <w:proofErr w:type="spellEnd"/>
            <w:r w:rsidRPr="00A6754C">
              <w:rPr>
                <w:bCs/>
                <w:sz w:val="28"/>
                <w:szCs w:val="28"/>
              </w:rPr>
              <w:t xml:space="preserve"> </w:t>
            </w:r>
            <w:r w:rsidRPr="00A6754C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6754C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A6754C">
              <w:rPr>
                <w:sz w:val="28"/>
                <w:szCs w:val="28"/>
              </w:rPr>
              <w:t>/л)</w:t>
            </w:r>
          </w:p>
        </w:tc>
        <w:tc>
          <w:tcPr>
            <w:tcW w:w="95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8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80,08</w:t>
            </w:r>
          </w:p>
        </w:tc>
        <w:tc>
          <w:tcPr>
            <w:tcW w:w="10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68,34</w:t>
            </w:r>
          </w:p>
        </w:tc>
        <w:tc>
          <w:tcPr>
            <w:tcW w:w="59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6754C">
              <w:rPr>
                <w:color w:val="000000"/>
                <w:sz w:val="28"/>
                <w:szCs w:val="28"/>
              </w:rPr>
              <w:t>0,025</w:t>
            </w:r>
            <w:r w:rsidRPr="00A6754C">
              <w:rPr>
                <w:color w:val="000000"/>
                <w:sz w:val="28"/>
                <w:szCs w:val="28"/>
                <w:vertAlign w:val="superscript"/>
              </w:rPr>
              <w:t>**</w:t>
            </w:r>
          </w:p>
        </w:tc>
      </w:tr>
      <w:tr w:rsidR="005C539C" w:rsidRPr="00A6754C" w:rsidTr="00C43913">
        <w:trPr>
          <w:trHeight w:val="85"/>
          <w:jc w:val="center"/>
        </w:trPr>
        <w:tc>
          <w:tcPr>
            <w:tcW w:w="1505" w:type="pct"/>
            <w:vMerge/>
            <w:vAlign w:val="center"/>
          </w:tcPr>
          <w:p w:rsidR="005C539C" w:rsidRPr="00A6754C" w:rsidRDefault="005C539C" w:rsidP="00C43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5C539C" w:rsidRPr="00A6754C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A6754C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8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80,47</w:t>
            </w:r>
          </w:p>
        </w:tc>
        <w:tc>
          <w:tcPr>
            <w:tcW w:w="10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87,62</w:t>
            </w:r>
          </w:p>
        </w:tc>
        <w:tc>
          <w:tcPr>
            <w:tcW w:w="59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6754C">
              <w:rPr>
                <w:color w:val="000000"/>
                <w:sz w:val="28"/>
                <w:szCs w:val="28"/>
                <w:lang w:val="en-US"/>
              </w:rPr>
              <w:t>0,492</w:t>
            </w:r>
          </w:p>
        </w:tc>
      </w:tr>
      <w:tr w:rsidR="005C539C" w:rsidRPr="00A6754C" w:rsidTr="00C43913">
        <w:trPr>
          <w:trHeight w:val="290"/>
          <w:jc w:val="center"/>
        </w:trPr>
        <w:tc>
          <w:tcPr>
            <w:tcW w:w="1505" w:type="pct"/>
            <w:vMerge w:val="restart"/>
            <w:vAlign w:val="center"/>
          </w:tcPr>
          <w:p w:rsidR="005C539C" w:rsidRPr="00A6754C" w:rsidRDefault="005C539C" w:rsidP="00C43913">
            <w:pPr>
              <w:rPr>
                <w:bCs/>
                <w:sz w:val="28"/>
                <w:szCs w:val="28"/>
              </w:rPr>
            </w:pPr>
            <w:r w:rsidRPr="00A6754C">
              <w:rPr>
                <w:bCs/>
                <w:sz w:val="28"/>
                <w:szCs w:val="28"/>
              </w:rPr>
              <w:t xml:space="preserve">Общий билирубин </w:t>
            </w:r>
            <w:r w:rsidRPr="00A6754C">
              <w:rPr>
                <w:sz w:val="28"/>
                <w:szCs w:val="28"/>
              </w:rPr>
              <w:t>(</w:t>
            </w:r>
            <w:proofErr w:type="spellStart"/>
            <w:r w:rsidRPr="00A6754C">
              <w:rPr>
                <w:sz w:val="28"/>
                <w:szCs w:val="28"/>
              </w:rPr>
              <w:t>мкмоль</w:t>
            </w:r>
            <w:proofErr w:type="spellEnd"/>
            <w:r w:rsidRPr="00A6754C">
              <w:rPr>
                <w:sz w:val="28"/>
                <w:szCs w:val="28"/>
              </w:rPr>
              <w:t>/л)</w:t>
            </w:r>
          </w:p>
        </w:tc>
        <w:tc>
          <w:tcPr>
            <w:tcW w:w="95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8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17,50</w:t>
            </w:r>
          </w:p>
        </w:tc>
        <w:tc>
          <w:tcPr>
            <w:tcW w:w="10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14,18</w:t>
            </w:r>
          </w:p>
        </w:tc>
        <w:tc>
          <w:tcPr>
            <w:tcW w:w="59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6754C">
              <w:rPr>
                <w:color w:val="000000"/>
                <w:sz w:val="28"/>
                <w:szCs w:val="28"/>
              </w:rPr>
              <w:t>0,010</w:t>
            </w:r>
            <w:r w:rsidRPr="00A6754C">
              <w:rPr>
                <w:color w:val="000000"/>
                <w:sz w:val="28"/>
                <w:szCs w:val="28"/>
                <w:vertAlign w:val="superscript"/>
              </w:rPr>
              <w:t>**</w:t>
            </w:r>
          </w:p>
        </w:tc>
      </w:tr>
      <w:tr w:rsidR="005C539C" w:rsidRPr="00A6754C" w:rsidTr="00C43913">
        <w:trPr>
          <w:trHeight w:val="193"/>
          <w:jc w:val="center"/>
        </w:trPr>
        <w:tc>
          <w:tcPr>
            <w:tcW w:w="1505" w:type="pct"/>
            <w:vMerge/>
            <w:vAlign w:val="center"/>
          </w:tcPr>
          <w:p w:rsidR="005C539C" w:rsidRPr="00A6754C" w:rsidRDefault="005C539C" w:rsidP="00C43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5C539C" w:rsidRPr="00A6754C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A6754C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8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19,33</w:t>
            </w:r>
          </w:p>
        </w:tc>
        <w:tc>
          <w:tcPr>
            <w:tcW w:w="10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17,26</w:t>
            </w:r>
          </w:p>
        </w:tc>
        <w:tc>
          <w:tcPr>
            <w:tcW w:w="59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6754C">
              <w:rPr>
                <w:color w:val="000000"/>
                <w:sz w:val="28"/>
                <w:szCs w:val="28"/>
                <w:lang w:val="en-US"/>
              </w:rPr>
              <w:t>0,084</w:t>
            </w:r>
          </w:p>
        </w:tc>
      </w:tr>
      <w:tr w:rsidR="005C539C" w:rsidRPr="00A6754C" w:rsidTr="00C43913">
        <w:trPr>
          <w:trHeight w:val="256"/>
          <w:jc w:val="center"/>
        </w:trPr>
        <w:tc>
          <w:tcPr>
            <w:tcW w:w="1505" w:type="pct"/>
            <w:vMerge w:val="restart"/>
            <w:vAlign w:val="center"/>
          </w:tcPr>
          <w:p w:rsidR="005C539C" w:rsidRPr="00A6754C" w:rsidRDefault="005C539C" w:rsidP="00C43913">
            <w:pPr>
              <w:rPr>
                <w:bCs/>
                <w:sz w:val="28"/>
                <w:szCs w:val="28"/>
              </w:rPr>
            </w:pPr>
            <w:r w:rsidRPr="00A6754C">
              <w:rPr>
                <w:bCs/>
                <w:sz w:val="28"/>
                <w:szCs w:val="28"/>
              </w:rPr>
              <w:t xml:space="preserve">Прямой билирубин </w:t>
            </w:r>
            <w:r w:rsidRPr="00A6754C">
              <w:rPr>
                <w:sz w:val="28"/>
                <w:szCs w:val="28"/>
              </w:rPr>
              <w:t>(</w:t>
            </w:r>
            <w:proofErr w:type="spellStart"/>
            <w:r w:rsidRPr="00A6754C">
              <w:rPr>
                <w:sz w:val="28"/>
                <w:szCs w:val="28"/>
              </w:rPr>
              <w:t>мкмоль</w:t>
            </w:r>
            <w:proofErr w:type="spellEnd"/>
            <w:r w:rsidRPr="00A6754C">
              <w:rPr>
                <w:sz w:val="28"/>
                <w:szCs w:val="28"/>
              </w:rPr>
              <w:t>/л)</w:t>
            </w:r>
          </w:p>
        </w:tc>
        <w:tc>
          <w:tcPr>
            <w:tcW w:w="95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8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4,75</w:t>
            </w:r>
          </w:p>
        </w:tc>
        <w:tc>
          <w:tcPr>
            <w:tcW w:w="10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3,81</w:t>
            </w:r>
          </w:p>
        </w:tc>
        <w:tc>
          <w:tcPr>
            <w:tcW w:w="59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6754C">
              <w:rPr>
                <w:color w:val="000000"/>
                <w:sz w:val="28"/>
                <w:szCs w:val="28"/>
                <w:lang w:val="en-US"/>
              </w:rPr>
              <w:t>0,091</w:t>
            </w:r>
          </w:p>
        </w:tc>
      </w:tr>
      <w:tr w:rsidR="005C539C" w:rsidRPr="00A6754C" w:rsidTr="00C43913">
        <w:trPr>
          <w:trHeight w:val="260"/>
          <w:jc w:val="center"/>
        </w:trPr>
        <w:tc>
          <w:tcPr>
            <w:tcW w:w="1505" w:type="pct"/>
            <w:vMerge/>
            <w:vAlign w:val="center"/>
          </w:tcPr>
          <w:p w:rsidR="005C539C" w:rsidRPr="00A6754C" w:rsidRDefault="005C539C" w:rsidP="00C43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5C539C" w:rsidRPr="00A6754C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A6754C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8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4,94</w:t>
            </w:r>
          </w:p>
        </w:tc>
        <w:tc>
          <w:tcPr>
            <w:tcW w:w="10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5,02</w:t>
            </w:r>
          </w:p>
        </w:tc>
        <w:tc>
          <w:tcPr>
            <w:tcW w:w="59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6754C">
              <w:rPr>
                <w:color w:val="000000"/>
                <w:sz w:val="28"/>
                <w:szCs w:val="28"/>
                <w:lang w:val="en-US"/>
              </w:rPr>
              <w:t>0,717</w:t>
            </w:r>
          </w:p>
        </w:tc>
      </w:tr>
      <w:tr w:rsidR="005C539C" w:rsidRPr="00A6754C" w:rsidTr="00C43913">
        <w:trPr>
          <w:trHeight w:val="250"/>
          <w:jc w:val="center"/>
        </w:trPr>
        <w:tc>
          <w:tcPr>
            <w:tcW w:w="1505" w:type="pct"/>
            <w:vMerge w:val="restart"/>
            <w:vAlign w:val="center"/>
          </w:tcPr>
          <w:p w:rsidR="005C539C" w:rsidRPr="00A6754C" w:rsidRDefault="005C539C" w:rsidP="00C43913">
            <w:pPr>
              <w:rPr>
                <w:bCs/>
                <w:sz w:val="28"/>
                <w:szCs w:val="28"/>
              </w:rPr>
            </w:pPr>
            <w:r w:rsidRPr="00A6754C">
              <w:rPr>
                <w:bCs/>
                <w:sz w:val="28"/>
                <w:szCs w:val="28"/>
              </w:rPr>
              <w:t xml:space="preserve">Непрямой билирубин </w:t>
            </w:r>
            <w:r w:rsidRPr="00A6754C">
              <w:rPr>
                <w:sz w:val="28"/>
                <w:szCs w:val="28"/>
              </w:rPr>
              <w:t>(</w:t>
            </w:r>
            <w:proofErr w:type="spellStart"/>
            <w:r w:rsidRPr="00A6754C">
              <w:rPr>
                <w:sz w:val="28"/>
                <w:szCs w:val="28"/>
              </w:rPr>
              <w:t>мкмоль</w:t>
            </w:r>
            <w:proofErr w:type="spellEnd"/>
            <w:r w:rsidRPr="00A6754C">
              <w:rPr>
                <w:sz w:val="28"/>
                <w:szCs w:val="28"/>
              </w:rPr>
              <w:t>/л)</w:t>
            </w:r>
          </w:p>
        </w:tc>
        <w:tc>
          <w:tcPr>
            <w:tcW w:w="95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8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12,75</w:t>
            </w:r>
          </w:p>
        </w:tc>
        <w:tc>
          <w:tcPr>
            <w:tcW w:w="10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10,06</w:t>
            </w:r>
          </w:p>
        </w:tc>
        <w:tc>
          <w:tcPr>
            <w:tcW w:w="59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6754C">
              <w:rPr>
                <w:color w:val="000000"/>
                <w:sz w:val="28"/>
                <w:szCs w:val="28"/>
              </w:rPr>
              <w:t>0,028</w:t>
            </w:r>
            <w:r w:rsidRPr="00A6754C">
              <w:rPr>
                <w:color w:val="000000"/>
                <w:sz w:val="28"/>
                <w:szCs w:val="28"/>
                <w:vertAlign w:val="superscript"/>
              </w:rPr>
              <w:t>**</w:t>
            </w:r>
          </w:p>
        </w:tc>
      </w:tr>
      <w:tr w:rsidR="005C539C" w:rsidRPr="00A6754C" w:rsidTr="00C43913">
        <w:trPr>
          <w:trHeight w:val="314"/>
          <w:jc w:val="center"/>
        </w:trPr>
        <w:tc>
          <w:tcPr>
            <w:tcW w:w="1505" w:type="pct"/>
            <w:vMerge/>
            <w:vAlign w:val="center"/>
          </w:tcPr>
          <w:p w:rsidR="005C539C" w:rsidRPr="00A6754C" w:rsidRDefault="005C539C" w:rsidP="00C43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5C539C" w:rsidRPr="00A6754C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A6754C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8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14,33</w:t>
            </w:r>
          </w:p>
        </w:tc>
        <w:tc>
          <w:tcPr>
            <w:tcW w:w="10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11,76</w:t>
            </w:r>
          </w:p>
        </w:tc>
        <w:tc>
          <w:tcPr>
            <w:tcW w:w="59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6754C">
              <w:rPr>
                <w:color w:val="000000"/>
                <w:sz w:val="28"/>
                <w:szCs w:val="28"/>
                <w:lang w:val="en-US"/>
              </w:rPr>
              <w:t>0,070</w:t>
            </w:r>
          </w:p>
        </w:tc>
      </w:tr>
      <w:tr w:rsidR="005C539C" w:rsidRPr="00A6754C" w:rsidTr="00C43913">
        <w:trPr>
          <w:trHeight w:val="215"/>
          <w:jc w:val="center"/>
        </w:trPr>
        <w:tc>
          <w:tcPr>
            <w:tcW w:w="1505" w:type="pct"/>
            <w:vMerge w:val="restart"/>
            <w:vAlign w:val="center"/>
          </w:tcPr>
          <w:p w:rsidR="005C539C" w:rsidRPr="00A6754C" w:rsidRDefault="005C539C" w:rsidP="00C43913">
            <w:pPr>
              <w:rPr>
                <w:bCs/>
                <w:sz w:val="28"/>
                <w:szCs w:val="28"/>
              </w:rPr>
            </w:pPr>
            <w:r w:rsidRPr="00A6754C">
              <w:rPr>
                <w:bCs/>
                <w:sz w:val="28"/>
                <w:szCs w:val="28"/>
              </w:rPr>
              <w:t xml:space="preserve">ГГТП </w:t>
            </w:r>
            <w:r w:rsidRPr="00A6754C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6754C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A6754C">
              <w:rPr>
                <w:sz w:val="28"/>
                <w:szCs w:val="28"/>
              </w:rPr>
              <w:t>/л)</w:t>
            </w:r>
          </w:p>
        </w:tc>
        <w:tc>
          <w:tcPr>
            <w:tcW w:w="95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8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74,47</w:t>
            </w:r>
          </w:p>
        </w:tc>
        <w:tc>
          <w:tcPr>
            <w:tcW w:w="10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89,39</w:t>
            </w:r>
          </w:p>
        </w:tc>
        <w:tc>
          <w:tcPr>
            <w:tcW w:w="59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6754C">
              <w:rPr>
                <w:color w:val="000000"/>
                <w:sz w:val="28"/>
                <w:szCs w:val="28"/>
              </w:rPr>
              <w:t>0,018</w:t>
            </w:r>
            <w:r w:rsidRPr="00A6754C">
              <w:rPr>
                <w:color w:val="000000"/>
                <w:sz w:val="28"/>
                <w:szCs w:val="28"/>
                <w:vertAlign w:val="superscript"/>
              </w:rPr>
              <w:t>**</w:t>
            </w:r>
          </w:p>
        </w:tc>
      </w:tr>
      <w:tr w:rsidR="005C539C" w:rsidRPr="00A6754C" w:rsidTr="00C43913">
        <w:trPr>
          <w:trHeight w:val="267"/>
          <w:jc w:val="center"/>
        </w:trPr>
        <w:tc>
          <w:tcPr>
            <w:tcW w:w="1505" w:type="pct"/>
            <w:vMerge/>
            <w:vAlign w:val="center"/>
          </w:tcPr>
          <w:p w:rsidR="005C539C" w:rsidRPr="00A6754C" w:rsidRDefault="005C539C" w:rsidP="00C43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5C539C" w:rsidRPr="00A6754C" w:rsidRDefault="005C539C" w:rsidP="00C43913">
            <w:pPr>
              <w:jc w:val="center"/>
              <w:rPr>
                <w:bCs/>
                <w:sz w:val="28"/>
                <w:szCs w:val="28"/>
              </w:rPr>
            </w:pPr>
            <w:r w:rsidRPr="00A6754C">
              <w:rPr>
                <w:bCs/>
                <w:sz w:val="28"/>
                <w:szCs w:val="28"/>
              </w:rPr>
              <w:t xml:space="preserve">Контрольная </w:t>
            </w:r>
          </w:p>
        </w:tc>
        <w:tc>
          <w:tcPr>
            <w:tcW w:w="8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78,09</w:t>
            </w:r>
          </w:p>
        </w:tc>
        <w:tc>
          <w:tcPr>
            <w:tcW w:w="1077" w:type="pct"/>
            <w:vAlign w:val="center"/>
          </w:tcPr>
          <w:p w:rsidR="005C539C" w:rsidRPr="00A6754C" w:rsidRDefault="005C539C" w:rsidP="00C43913">
            <w:pPr>
              <w:jc w:val="center"/>
              <w:rPr>
                <w:sz w:val="28"/>
                <w:szCs w:val="28"/>
              </w:rPr>
            </w:pPr>
            <w:r w:rsidRPr="00A6754C">
              <w:rPr>
                <w:color w:val="000000"/>
                <w:sz w:val="28"/>
                <w:szCs w:val="28"/>
              </w:rPr>
              <w:t>77,16</w:t>
            </w:r>
          </w:p>
        </w:tc>
        <w:tc>
          <w:tcPr>
            <w:tcW w:w="591" w:type="pct"/>
            <w:vAlign w:val="center"/>
          </w:tcPr>
          <w:p w:rsidR="005C539C" w:rsidRPr="00A6754C" w:rsidRDefault="005C539C" w:rsidP="00C4391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6754C">
              <w:rPr>
                <w:color w:val="000000"/>
                <w:sz w:val="28"/>
                <w:szCs w:val="28"/>
                <w:lang w:val="en-US"/>
              </w:rPr>
              <w:t>0,287</w:t>
            </w:r>
          </w:p>
        </w:tc>
      </w:tr>
    </w:tbl>
    <w:p w:rsidR="005C539C" w:rsidRPr="00A6754C" w:rsidRDefault="005C539C" w:rsidP="005C539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754C">
        <w:rPr>
          <w:rFonts w:ascii="Times New Roman" w:hAnsi="Times New Roman"/>
          <w:sz w:val="28"/>
          <w:szCs w:val="28"/>
        </w:rPr>
        <w:t xml:space="preserve">*Оценка данных выполнена путем внутригруппового попарного сравнения средних значений, полученных на двух визитах, с помощью теста </w:t>
      </w:r>
      <w:proofErr w:type="spellStart"/>
      <w:r w:rsidRPr="00A6754C">
        <w:rPr>
          <w:rFonts w:ascii="Times New Roman" w:hAnsi="Times New Roman"/>
          <w:sz w:val="28"/>
          <w:szCs w:val="28"/>
        </w:rPr>
        <w:t>Вилкоксона</w:t>
      </w:r>
      <w:proofErr w:type="spellEnd"/>
      <w:r w:rsidRPr="00A6754C">
        <w:rPr>
          <w:rFonts w:ascii="Times New Roman" w:hAnsi="Times New Roman"/>
          <w:sz w:val="28"/>
          <w:szCs w:val="28"/>
        </w:rPr>
        <w:t xml:space="preserve"> </w:t>
      </w:r>
    </w:p>
    <w:p w:rsidR="005C539C" w:rsidRPr="00A6754C" w:rsidRDefault="005C539C" w:rsidP="005C539C">
      <w:pPr>
        <w:jc w:val="both"/>
        <w:rPr>
          <w:sz w:val="28"/>
          <w:szCs w:val="28"/>
        </w:rPr>
      </w:pPr>
      <w:r w:rsidRPr="00A6754C">
        <w:rPr>
          <w:sz w:val="28"/>
          <w:szCs w:val="28"/>
        </w:rPr>
        <w:t>** Различия статистически значимы</w:t>
      </w:r>
    </w:p>
    <w:p w:rsidR="005C539C" w:rsidRDefault="005C539C" w:rsidP="003146B5">
      <w:pPr>
        <w:spacing w:line="360" w:lineRule="auto"/>
        <w:ind w:firstLine="709"/>
        <w:jc w:val="both"/>
        <w:rPr>
          <w:sz w:val="28"/>
          <w:szCs w:val="28"/>
        </w:rPr>
      </w:pPr>
    </w:p>
    <w:p w:rsidR="00F81CAA" w:rsidRPr="003144AD" w:rsidRDefault="00A824EF" w:rsidP="003146B5">
      <w:pPr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>Было выявлено</w:t>
      </w:r>
      <w:r w:rsidR="00F81CAA" w:rsidRPr="003144AD">
        <w:rPr>
          <w:sz w:val="28"/>
          <w:szCs w:val="28"/>
        </w:rPr>
        <w:t xml:space="preserve">, что у больных, получавших препарат </w:t>
      </w:r>
      <w:proofErr w:type="spellStart"/>
      <w:r w:rsidR="00F81CAA" w:rsidRPr="003144AD">
        <w:rPr>
          <w:sz w:val="28"/>
          <w:szCs w:val="28"/>
        </w:rPr>
        <w:t>Бициклол</w:t>
      </w:r>
      <w:proofErr w:type="spellEnd"/>
      <w:r w:rsidR="00F81CAA" w:rsidRPr="003144AD">
        <w:rPr>
          <w:sz w:val="28"/>
          <w:szCs w:val="28"/>
        </w:rPr>
        <w:t xml:space="preserve">, отмечали повышение активности ГГТП на 12 неделе лечения (табл. </w:t>
      </w:r>
      <w:r w:rsidRPr="003144AD">
        <w:rPr>
          <w:sz w:val="28"/>
          <w:szCs w:val="28"/>
        </w:rPr>
        <w:t>4</w:t>
      </w:r>
      <w:r w:rsidR="00F81CAA" w:rsidRPr="003144AD">
        <w:rPr>
          <w:sz w:val="28"/>
          <w:szCs w:val="28"/>
        </w:rPr>
        <w:t xml:space="preserve">). У 5 больных этой группе отмечали значительное повышение активности ГГТП, что было расценено как нежелательное явление. Анализ индивидуальных данных указанных пациентов показал, что повышение активности ГГТП нельзя с уверенностью отнести к проявлениям лекарственной непереносимости препарата </w:t>
      </w:r>
      <w:proofErr w:type="spellStart"/>
      <w:r w:rsidR="00F81CAA" w:rsidRPr="003144AD">
        <w:rPr>
          <w:sz w:val="28"/>
          <w:szCs w:val="28"/>
        </w:rPr>
        <w:t>Бициклол</w:t>
      </w:r>
      <w:proofErr w:type="spellEnd"/>
      <w:r w:rsidR="00F81CAA" w:rsidRPr="003144AD">
        <w:rPr>
          <w:sz w:val="28"/>
          <w:szCs w:val="28"/>
        </w:rPr>
        <w:t xml:space="preserve">, поскольку у каждого из </w:t>
      </w:r>
      <w:r w:rsidRPr="003144AD">
        <w:rPr>
          <w:sz w:val="28"/>
          <w:szCs w:val="28"/>
        </w:rPr>
        <w:t>этих пациентов</w:t>
      </w:r>
      <w:r w:rsidR="00F81CAA" w:rsidRPr="003144AD">
        <w:rPr>
          <w:sz w:val="28"/>
          <w:szCs w:val="28"/>
        </w:rPr>
        <w:t xml:space="preserve"> было зарегистрировано сопутствующие заболевание ЖКТ (хронический холецистит, хронический панкреатит и др.). Дополнительный анализ динамики активности ГГТП в группе больных, получавших препарат </w:t>
      </w:r>
      <w:proofErr w:type="spellStart"/>
      <w:r w:rsidR="00F81CAA" w:rsidRPr="003144AD">
        <w:rPr>
          <w:sz w:val="28"/>
          <w:szCs w:val="28"/>
        </w:rPr>
        <w:t>Бициклол</w:t>
      </w:r>
      <w:proofErr w:type="spellEnd"/>
      <w:r w:rsidR="00F81CAA" w:rsidRPr="003144AD">
        <w:rPr>
          <w:sz w:val="28"/>
          <w:szCs w:val="28"/>
        </w:rPr>
        <w:t>, после исключения этих 5 пациентов, не выявил статистически значимых различи</w:t>
      </w:r>
      <w:r w:rsidR="00637BD2" w:rsidRPr="003144AD">
        <w:rPr>
          <w:sz w:val="28"/>
          <w:szCs w:val="28"/>
        </w:rPr>
        <w:t>й</w:t>
      </w:r>
      <w:r w:rsidR="00F81CAA" w:rsidRPr="003144AD">
        <w:rPr>
          <w:sz w:val="28"/>
          <w:szCs w:val="28"/>
        </w:rPr>
        <w:t xml:space="preserve"> между группами.</w:t>
      </w:r>
    </w:p>
    <w:p w:rsidR="00F81CAA" w:rsidRPr="003144AD" w:rsidRDefault="00F81CAA" w:rsidP="003146B5">
      <w:pPr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 xml:space="preserve">Курс терапии препаратом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 xml:space="preserve"> не влиял на уровень вирусной нагрузки, различий между группами также не получено.</w:t>
      </w:r>
    </w:p>
    <w:p w:rsidR="00F81CAA" w:rsidRPr="003144AD" w:rsidRDefault="00F81CAA" w:rsidP="003146B5">
      <w:pPr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lastRenderedPageBreak/>
        <w:t xml:space="preserve">Оценка приверженности лечению по количеству принятых препаратов, проведенная на 4 и 12 неделях терапии, показала, что больные получали исследуемые препарат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 xml:space="preserve"> и плацебо в течение 12 недель в полном соответствии с протоколом. Показатель </w:t>
      </w:r>
      <w:proofErr w:type="spellStart"/>
      <w:r w:rsidRPr="003144AD">
        <w:rPr>
          <w:sz w:val="28"/>
          <w:szCs w:val="28"/>
        </w:rPr>
        <w:t>комплаентности</w:t>
      </w:r>
      <w:proofErr w:type="spellEnd"/>
      <w:r w:rsidRPr="003144AD">
        <w:rPr>
          <w:sz w:val="28"/>
          <w:szCs w:val="28"/>
        </w:rPr>
        <w:t xml:space="preserve"> был более 80%.</w:t>
      </w:r>
    </w:p>
    <w:p w:rsidR="00F81CAA" w:rsidRPr="003144AD" w:rsidRDefault="00F81CAA" w:rsidP="003146B5">
      <w:pPr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 xml:space="preserve">Не было зарегистрировано ни одного серьезного нежелательного явления на прием препарата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 xml:space="preserve">. Нежелательные явления проявлялись, прежде всего, отклонениями лабораторных показателей (увеличение </w:t>
      </w:r>
      <w:proofErr w:type="spellStart"/>
      <w:r w:rsidRPr="003144AD">
        <w:rPr>
          <w:sz w:val="28"/>
          <w:szCs w:val="28"/>
        </w:rPr>
        <w:t>протромбинового</w:t>
      </w:r>
      <w:proofErr w:type="spellEnd"/>
      <w:r w:rsidRPr="003144AD">
        <w:rPr>
          <w:sz w:val="28"/>
          <w:szCs w:val="28"/>
        </w:rPr>
        <w:t xml:space="preserve"> времени, увеличение активности щелочной фосфатазы и ГГТП). Кроме того, в 3 случаях зарегистрированы нежелательные лекарственные реакции, проявившиеся тошнотой, болью в </w:t>
      </w:r>
      <w:proofErr w:type="spellStart"/>
      <w:r w:rsidRPr="003144AD">
        <w:rPr>
          <w:sz w:val="28"/>
          <w:szCs w:val="28"/>
        </w:rPr>
        <w:t>эпигастрии</w:t>
      </w:r>
      <w:proofErr w:type="spellEnd"/>
      <w:r w:rsidRPr="003144AD">
        <w:rPr>
          <w:sz w:val="28"/>
          <w:szCs w:val="28"/>
        </w:rPr>
        <w:t xml:space="preserve"> и повышении активности </w:t>
      </w:r>
      <w:proofErr w:type="spellStart"/>
      <w:r w:rsidRPr="003144AD">
        <w:rPr>
          <w:sz w:val="28"/>
          <w:szCs w:val="28"/>
        </w:rPr>
        <w:t>АсАТ</w:t>
      </w:r>
      <w:proofErr w:type="spellEnd"/>
      <w:r w:rsidRPr="003144AD">
        <w:rPr>
          <w:sz w:val="28"/>
          <w:szCs w:val="28"/>
        </w:rPr>
        <w:t xml:space="preserve">, которые указаны в инструкции по медицинскому применению препарата. Во всех случаях пациенты, у которых были зарегистрированы нежелательные лекарственные реакции, отличались удовлетворительной </w:t>
      </w:r>
      <w:proofErr w:type="spellStart"/>
      <w:r w:rsidRPr="003144AD">
        <w:rPr>
          <w:sz w:val="28"/>
          <w:szCs w:val="28"/>
        </w:rPr>
        <w:t>комплаентостью</w:t>
      </w:r>
      <w:proofErr w:type="spellEnd"/>
      <w:r w:rsidRPr="003144AD">
        <w:rPr>
          <w:sz w:val="28"/>
          <w:szCs w:val="28"/>
        </w:rPr>
        <w:t xml:space="preserve">, что позволило сделать вывод о хорошей переносимости препарата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>.</w:t>
      </w:r>
    </w:p>
    <w:p w:rsidR="00D01293" w:rsidRPr="003144AD" w:rsidRDefault="00D01293" w:rsidP="003146B5">
      <w:pPr>
        <w:spacing w:line="360" w:lineRule="auto"/>
        <w:ind w:firstLine="709"/>
        <w:jc w:val="both"/>
        <w:rPr>
          <w:sz w:val="28"/>
          <w:szCs w:val="28"/>
        </w:rPr>
      </w:pPr>
      <w:r w:rsidRPr="003144AD">
        <w:rPr>
          <w:sz w:val="28"/>
          <w:szCs w:val="28"/>
        </w:rPr>
        <w:t xml:space="preserve">Полученные данные о позитивном влиянии препарата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 xml:space="preserve"> на биохимическую активность патологического процесса у больных ХГС создают предпосылки для использования исследуемого препарата при другой патологии печени. Так, недавно были получены данные об эффективности препарата в лечении неалкогольной жировой болезни печени</w:t>
      </w:r>
      <w:r w:rsidR="00C364F6" w:rsidRPr="003144AD">
        <w:rPr>
          <w:sz w:val="28"/>
          <w:szCs w:val="28"/>
        </w:rPr>
        <w:t xml:space="preserve"> –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 xml:space="preserve"> уменьшал проявления гистологической активности </w:t>
      </w:r>
      <w:proofErr w:type="spellStart"/>
      <w:r w:rsidRPr="003144AD">
        <w:rPr>
          <w:sz w:val="28"/>
          <w:szCs w:val="28"/>
        </w:rPr>
        <w:t>стеатогепатита</w:t>
      </w:r>
      <w:proofErr w:type="spellEnd"/>
      <w:r w:rsidRPr="003144AD">
        <w:rPr>
          <w:sz w:val="28"/>
          <w:szCs w:val="28"/>
        </w:rPr>
        <w:t xml:space="preserve">, снижал активность </w:t>
      </w:r>
      <w:proofErr w:type="spellStart"/>
      <w:r w:rsidRPr="003144AD">
        <w:rPr>
          <w:sz w:val="28"/>
          <w:szCs w:val="28"/>
        </w:rPr>
        <w:t>аминотрансфераз</w:t>
      </w:r>
      <w:proofErr w:type="spellEnd"/>
      <w:r w:rsidRPr="003144AD">
        <w:rPr>
          <w:sz w:val="28"/>
          <w:szCs w:val="28"/>
        </w:rPr>
        <w:t xml:space="preserve"> [</w:t>
      </w:r>
      <w:r w:rsidR="00C364F6" w:rsidRPr="003144AD">
        <w:rPr>
          <w:sz w:val="28"/>
          <w:szCs w:val="28"/>
        </w:rPr>
        <w:t>3</w:t>
      </w:r>
      <w:r w:rsidRPr="003144AD">
        <w:rPr>
          <w:sz w:val="28"/>
          <w:szCs w:val="28"/>
        </w:rPr>
        <w:t>].</w:t>
      </w:r>
      <w:r w:rsidR="00C364F6" w:rsidRPr="003144AD">
        <w:rPr>
          <w:sz w:val="28"/>
          <w:szCs w:val="28"/>
        </w:rPr>
        <w:t xml:space="preserve"> </w:t>
      </w:r>
      <w:proofErr w:type="gramStart"/>
      <w:r w:rsidR="00C364F6" w:rsidRPr="003144AD">
        <w:rPr>
          <w:sz w:val="28"/>
          <w:szCs w:val="28"/>
        </w:rPr>
        <w:t xml:space="preserve">Нам представляется целесообразным проведение дальнейших клинических исследований препарата </w:t>
      </w:r>
      <w:proofErr w:type="spellStart"/>
      <w:r w:rsidR="00C364F6" w:rsidRPr="003144AD">
        <w:rPr>
          <w:sz w:val="28"/>
          <w:szCs w:val="28"/>
        </w:rPr>
        <w:t>Бициклол</w:t>
      </w:r>
      <w:proofErr w:type="spellEnd"/>
      <w:r w:rsidR="00C364F6" w:rsidRPr="003144AD">
        <w:rPr>
          <w:sz w:val="28"/>
          <w:szCs w:val="28"/>
        </w:rPr>
        <w:t xml:space="preserve"> у пациентов с неалкогольным </w:t>
      </w:r>
      <w:proofErr w:type="spellStart"/>
      <w:r w:rsidR="00C364F6" w:rsidRPr="003144AD">
        <w:rPr>
          <w:sz w:val="28"/>
          <w:szCs w:val="28"/>
        </w:rPr>
        <w:t>стеатогепатитом</w:t>
      </w:r>
      <w:proofErr w:type="spellEnd"/>
      <w:r w:rsidR="00C364F6" w:rsidRPr="003144AD">
        <w:rPr>
          <w:sz w:val="28"/>
          <w:szCs w:val="28"/>
        </w:rPr>
        <w:t>, а также у больных с токсическими поражениями печени – алкогольной или медикаментозной этиологии.</w:t>
      </w:r>
      <w:proofErr w:type="gramEnd"/>
    </w:p>
    <w:p w:rsidR="005C539C" w:rsidRDefault="00C364F6" w:rsidP="005C539C">
      <w:pPr>
        <w:spacing w:line="360" w:lineRule="auto"/>
        <w:ind w:firstLine="709"/>
        <w:rPr>
          <w:b/>
          <w:sz w:val="28"/>
          <w:szCs w:val="28"/>
        </w:rPr>
      </w:pPr>
      <w:r w:rsidRPr="003144AD">
        <w:rPr>
          <w:b/>
          <w:sz w:val="28"/>
          <w:szCs w:val="28"/>
        </w:rPr>
        <w:t>Заключение</w:t>
      </w:r>
      <w:r w:rsidR="00F81CAA" w:rsidRPr="003144AD">
        <w:rPr>
          <w:b/>
          <w:sz w:val="28"/>
          <w:szCs w:val="28"/>
        </w:rPr>
        <w:t>.</w:t>
      </w:r>
    </w:p>
    <w:p w:rsidR="00F81CAA" w:rsidRPr="003144AD" w:rsidRDefault="00F81CAA" w:rsidP="005C539C">
      <w:pPr>
        <w:spacing w:line="360" w:lineRule="auto"/>
        <w:ind w:firstLine="709"/>
        <w:rPr>
          <w:sz w:val="28"/>
          <w:szCs w:val="28"/>
        </w:rPr>
      </w:pPr>
      <w:r w:rsidRPr="003144AD">
        <w:rPr>
          <w:sz w:val="28"/>
          <w:szCs w:val="28"/>
        </w:rPr>
        <w:t xml:space="preserve">Таким образом, проведенное исследование показало, что лечение больных ХГС (умеренной степенью активности) оригинальным препаратом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 xml:space="preserve"> в дозе 150 мг в сутки в течение 12 недель сопровождается </w:t>
      </w:r>
      <w:r w:rsidRPr="003144AD">
        <w:rPr>
          <w:sz w:val="28"/>
          <w:szCs w:val="28"/>
        </w:rPr>
        <w:lastRenderedPageBreak/>
        <w:t xml:space="preserve">снижением активности </w:t>
      </w:r>
      <w:proofErr w:type="spellStart"/>
      <w:r w:rsidRPr="003144AD">
        <w:rPr>
          <w:sz w:val="28"/>
          <w:szCs w:val="28"/>
        </w:rPr>
        <w:t>АлАТ</w:t>
      </w:r>
      <w:proofErr w:type="spellEnd"/>
      <w:r w:rsidRPr="003144AD">
        <w:rPr>
          <w:sz w:val="28"/>
          <w:szCs w:val="28"/>
        </w:rPr>
        <w:t xml:space="preserve"> и </w:t>
      </w:r>
      <w:proofErr w:type="spellStart"/>
      <w:r w:rsidRPr="003144AD">
        <w:rPr>
          <w:sz w:val="28"/>
          <w:szCs w:val="28"/>
        </w:rPr>
        <w:t>АсАТ</w:t>
      </w:r>
      <w:proofErr w:type="spellEnd"/>
      <w:r w:rsidRPr="003144AD">
        <w:rPr>
          <w:sz w:val="28"/>
          <w:szCs w:val="28"/>
        </w:rPr>
        <w:t xml:space="preserve"> и концентрации билирубина, а также приводит к уменьшению выраженности проявлений </w:t>
      </w:r>
      <w:proofErr w:type="spellStart"/>
      <w:proofErr w:type="gramStart"/>
      <w:r w:rsidRPr="003144AD">
        <w:rPr>
          <w:sz w:val="28"/>
          <w:szCs w:val="28"/>
        </w:rPr>
        <w:t>астено</w:t>
      </w:r>
      <w:proofErr w:type="spellEnd"/>
      <w:r w:rsidRPr="003144AD">
        <w:rPr>
          <w:sz w:val="28"/>
          <w:szCs w:val="28"/>
        </w:rPr>
        <w:t>-вегетативного</w:t>
      </w:r>
      <w:proofErr w:type="gramEnd"/>
      <w:r w:rsidRPr="003144AD">
        <w:rPr>
          <w:sz w:val="28"/>
          <w:szCs w:val="28"/>
        </w:rPr>
        <w:t xml:space="preserve"> синдрома. Для препарата характерны благоприятный профиль безопасности и хорошая переносимость.</w:t>
      </w:r>
      <w:r w:rsidR="00C364F6" w:rsidRPr="003144AD">
        <w:rPr>
          <w:sz w:val="28"/>
          <w:szCs w:val="28"/>
        </w:rPr>
        <w:t xml:space="preserve"> </w:t>
      </w:r>
      <w:r w:rsidRPr="003144AD">
        <w:rPr>
          <w:sz w:val="28"/>
          <w:szCs w:val="28"/>
        </w:rPr>
        <w:t xml:space="preserve">Препарат </w:t>
      </w:r>
      <w:proofErr w:type="spellStart"/>
      <w:r w:rsidRPr="003144AD">
        <w:rPr>
          <w:sz w:val="28"/>
          <w:szCs w:val="28"/>
        </w:rPr>
        <w:t>Бициклол</w:t>
      </w:r>
      <w:proofErr w:type="spellEnd"/>
      <w:r w:rsidRPr="003144AD">
        <w:rPr>
          <w:sz w:val="28"/>
          <w:szCs w:val="28"/>
        </w:rPr>
        <w:t xml:space="preserve"> может быть рекомендован для лечения больных хроническим гепатитом</w:t>
      </w:r>
      <w:proofErr w:type="gramStart"/>
      <w:r w:rsidRPr="003144AD">
        <w:rPr>
          <w:sz w:val="28"/>
          <w:szCs w:val="28"/>
        </w:rPr>
        <w:t xml:space="preserve"> С</w:t>
      </w:r>
      <w:proofErr w:type="gramEnd"/>
      <w:r w:rsidRPr="003144AD">
        <w:rPr>
          <w:sz w:val="28"/>
          <w:szCs w:val="28"/>
        </w:rPr>
        <w:t>, не ответивших на противовирусную терапию или имеющих противопоказания к ней, для уменьшения активности воспалительного процесса и  снижения темпов прогрессирования заболевания.</w:t>
      </w:r>
      <w:r w:rsidR="00C364F6" w:rsidRPr="003144AD">
        <w:rPr>
          <w:sz w:val="28"/>
          <w:szCs w:val="28"/>
        </w:rPr>
        <w:t xml:space="preserve"> </w:t>
      </w:r>
    </w:p>
    <w:p w:rsidR="005C539C" w:rsidRDefault="005C539C" w:rsidP="003144AD">
      <w:pPr>
        <w:widowControl w:val="0"/>
        <w:suppressAutoHyphens/>
        <w:autoSpaceDE w:val="0"/>
        <w:snapToGrid w:val="0"/>
        <w:spacing w:line="360" w:lineRule="auto"/>
        <w:jc w:val="both"/>
        <w:rPr>
          <w:b/>
          <w:sz w:val="28"/>
          <w:szCs w:val="28"/>
        </w:rPr>
      </w:pPr>
    </w:p>
    <w:p w:rsidR="003144AD" w:rsidRPr="003144AD" w:rsidRDefault="003144AD" w:rsidP="003144AD">
      <w:pPr>
        <w:widowControl w:val="0"/>
        <w:suppressAutoHyphens/>
        <w:autoSpaceDE w:val="0"/>
        <w:snapToGrid w:val="0"/>
        <w:spacing w:line="360" w:lineRule="auto"/>
        <w:jc w:val="both"/>
        <w:rPr>
          <w:b/>
          <w:sz w:val="28"/>
          <w:szCs w:val="28"/>
        </w:rPr>
      </w:pPr>
      <w:r w:rsidRPr="003144AD">
        <w:rPr>
          <w:b/>
          <w:sz w:val="28"/>
          <w:szCs w:val="28"/>
          <w:lang w:val="en-US"/>
        </w:rPr>
        <w:t>Reference: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144AD">
        <w:rPr>
          <w:rFonts w:ascii="Times New Roman" w:hAnsi="Times New Roman"/>
          <w:sz w:val="28"/>
          <w:szCs w:val="28"/>
          <w:lang w:val="en-US"/>
        </w:rPr>
        <w:t xml:space="preserve">European Association for the Study of the Liver. EASL Clinical Practice Guidelines: management of hepatitis C virus infection. J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Hepatol</w:t>
      </w:r>
      <w:proofErr w:type="spellEnd"/>
      <w:r w:rsidRPr="003144AD">
        <w:rPr>
          <w:rFonts w:ascii="Times New Roman" w:hAnsi="Times New Roman"/>
          <w:sz w:val="28"/>
          <w:szCs w:val="28"/>
        </w:rPr>
        <w:t xml:space="preserve"> 2014</w:t>
      </w:r>
      <w:proofErr w:type="gramStart"/>
      <w:r w:rsidRPr="003144AD">
        <w:rPr>
          <w:rFonts w:ascii="Times New Roman" w:hAnsi="Times New Roman"/>
          <w:sz w:val="28"/>
          <w:szCs w:val="28"/>
        </w:rPr>
        <w:t>;60:392</w:t>
      </w:r>
      <w:proofErr w:type="gramEnd"/>
      <w:r w:rsidRPr="003144AD">
        <w:rPr>
          <w:rFonts w:ascii="Times New Roman" w:hAnsi="Times New Roman"/>
          <w:sz w:val="28"/>
          <w:szCs w:val="28"/>
        </w:rPr>
        <w:t>–420.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</w:rPr>
      </w:pP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Ferenci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P, Bernstein D,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Lalezari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J, Cohen D, Luo Y, Cooper C, et al. ABT-450/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rombitasvir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dasabuvir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with or without ribavirin for HCV. N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Engl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J Med 2014</w:t>
      </w:r>
      <w:proofErr w:type="gramStart"/>
      <w:r w:rsidRPr="003144AD">
        <w:rPr>
          <w:rFonts w:ascii="Times New Roman" w:hAnsi="Times New Roman"/>
          <w:sz w:val="28"/>
          <w:szCs w:val="28"/>
          <w:lang w:val="en-US"/>
        </w:rPr>
        <w:t>;370:1983</w:t>
      </w:r>
      <w:proofErr w:type="gramEnd"/>
      <w:r w:rsidRPr="003144AD">
        <w:rPr>
          <w:rFonts w:ascii="Times New Roman" w:hAnsi="Times New Roman"/>
          <w:sz w:val="28"/>
          <w:szCs w:val="28"/>
          <w:lang w:val="en-US"/>
        </w:rPr>
        <w:t>–1992.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144AD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Han Y.</w:t>
      </w:r>
      <w:r w:rsidRPr="003144AD">
        <w:rPr>
          <w:rStyle w:val="citation"/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3144AD">
        <w:rPr>
          <w:rStyle w:val="citation"/>
          <w:rFonts w:ascii="Times New Roman" w:hAnsi="Times New Roman"/>
          <w:sz w:val="28"/>
          <w:szCs w:val="28"/>
          <w:lang w:val="en-US"/>
        </w:rPr>
        <w:t>Shi J.-P.</w:t>
      </w:r>
      <w:r w:rsidRPr="003144AD">
        <w:rPr>
          <w:rFonts w:ascii="Times New Roman" w:eastAsiaTheme="minorHAnsi" w:hAnsi="Times New Roman"/>
          <w:sz w:val="28"/>
          <w:szCs w:val="28"/>
          <w:lang w:val="en-US"/>
        </w:rPr>
        <w:t>, Ma A.-L.</w:t>
      </w:r>
      <w:r w:rsidRPr="003144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144AD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3144AD">
        <w:rPr>
          <w:rFonts w:ascii="Times New Roman" w:hAnsi="Times New Roman"/>
          <w:sz w:val="28"/>
          <w:szCs w:val="28"/>
          <w:lang w:val="en-US"/>
        </w:rPr>
        <w:t xml:space="preserve"> al. Randomized, vitamin E controlled trial of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Bicyclol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plus metformin in non-alcoholic fatty liver disease patients with impaired fasting glucose //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Clin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Drug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Investig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>. – 2014. – Vol.34, N1. – P.1-7.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</w:pPr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 xml:space="preserve">Liu GT. </w:t>
      </w:r>
      <w:proofErr w:type="spellStart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>Bicyclol</w:t>
      </w:r>
      <w:proofErr w:type="spellEnd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>: a novel drug for treating chronic viral hepatitis B and C. Med Chem.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2009;5(1):29–43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 xml:space="preserve">Liu GT, Li Y, Wei HL, Zhang H, Xu JY, Yu LH. Mechanism of protective action of </w:t>
      </w:r>
      <w:proofErr w:type="spellStart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>bicyclol</w:t>
      </w:r>
      <w:proofErr w:type="spellEnd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 xml:space="preserve"> against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CCl</w:t>
      </w:r>
      <w:proofErr w:type="spell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-induced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liver injury in mice. Liver Int.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2005</w:t>
      </w:r>
      <w:proofErr w:type="gram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;25</w:t>
      </w:r>
      <w:proofErr w:type="gram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(4):872–9.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Manns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M, Marcellin P,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Poordad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F, de Araujo ES,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Buti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M,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Horsmans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Y, et al.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Simeprevir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with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pegylated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interferon alfa 2a or 2b plus ribavirin in treatment-naive patients with chronic hepatitis C virus genotype 1infection (QUEST-2): a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randomised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>, double-blind, placebo-controlled phase 3 trial. Lancet 2014</w:t>
      </w:r>
      <w:proofErr w:type="gramStart"/>
      <w:r w:rsidRPr="003144AD">
        <w:rPr>
          <w:rFonts w:ascii="Times New Roman" w:hAnsi="Times New Roman"/>
          <w:sz w:val="28"/>
          <w:szCs w:val="28"/>
          <w:lang w:val="en-US"/>
        </w:rPr>
        <w:t>;384:414</w:t>
      </w:r>
      <w:proofErr w:type="gramEnd"/>
      <w:r w:rsidRPr="003144AD">
        <w:rPr>
          <w:rFonts w:ascii="Times New Roman" w:hAnsi="Times New Roman"/>
          <w:sz w:val="28"/>
          <w:szCs w:val="28"/>
          <w:lang w:val="en-US"/>
        </w:rPr>
        <w:t>–426.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Pan SY, Dong H, Yu ZL, Zhao XY, Xiang CJ, Wang H, et al. </w:t>
      </w:r>
      <w:proofErr w:type="spellStart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>Bicyclol</w:t>
      </w:r>
      <w:proofErr w:type="spellEnd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 xml:space="preserve">, a synthetic </w:t>
      </w:r>
      <w:proofErr w:type="spellStart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>dibenzocyclooctadiene</w:t>
      </w:r>
      <w:proofErr w:type="spellEnd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 xml:space="preserve"> derivative, decreases hepatic lipids but increases serum triglyceride level in normal and </w:t>
      </w:r>
      <w:proofErr w:type="spellStart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>hypercholesterolaemic</w:t>
      </w:r>
      <w:proofErr w:type="spellEnd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 xml:space="preserve"> mice. J Pharm </w:t>
      </w:r>
      <w:proofErr w:type="spellStart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>Pharmacol</w:t>
      </w:r>
      <w:proofErr w:type="spellEnd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>. 2007</w:t>
      </w:r>
      <w:proofErr w:type="gramStart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>;59</w:t>
      </w:r>
      <w:proofErr w:type="gramEnd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>(12):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1657–62.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Smets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E.M.,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Garssen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B.,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Bonke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B., De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Haes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J.C. The Multidimensional Fatigue Inventory (MFI) psychometric qualities of an instrument to assess fatigue // J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Psychosom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Res. – 1995. – </w:t>
      </w:r>
      <w:proofErr w:type="gramStart"/>
      <w:r w:rsidRPr="003144AD">
        <w:rPr>
          <w:rFonts w:ascii="Times New Roman" w:hAnsi="Times New Roman"/>
          <w:sz w:val="28"/>
          <w:szCs w:val="28"/>
          <w:lang w:val="en-US"/>
        </w:rPr>
        <w:t>Vol.39(</w:t>
      </w:r>
      <w:proofErr w:type="gramEnd"/>
      <w:r w:rsidRPr="003144AD">
        <w:rPr>
          <w:rFonts w:ascii="Times New Roman" w:hAnsi="Times New Roman"/>
          <w:sz w:val="28"/>
          <w:szCs w:val="28"/>
          <w:lang w:val="en-US"/>
        </w:rPr>
        <w:t>3). P.315–325.</w:t>
      </w:r>
    </w:p>
    <w:p w:rsidR="003144AD" w:rsidRPr="003144AD" w:rsidRDefault="003144AD" w:rsidP="003144AD">
      <w:pPr>
        <w:pStyle w:val="p9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3144AD">
        <w:rPr>
          <w:rStyle w:val="ft31"/>
          <w:color w:val="000000"/>
          <w:sz w:val="28"/>
          <w:szCs w:val="28"/>
          <w:lang w:val="en-US"/>
        </w:rPr>
        <w:t xml:space="preserve">Su HL, Zhu YX, Gao ZJ, Dong XY, Zhu JY, Lei WR, et al. </w:t>
      </w:r>
      <w:proofErr w:type="spellStart"/>
      <w:r w:rsidRPr="003144AD">
        <w:rPr>
          <w:color w:val="000000"/>
          <w:sz w:val="28"/>
          <w:szCs w:val="28"/>
          <w:lang w:val="en-US"/>
        </w:rPr>
        <w:t>Ef</w:t>
      </w:r>
      <w:proofErr w:type="spellEnd"/>
      <w:r w:rsidRPr="003144AD">
        <w:rPr>
          <w:color w:val="000000"/>
          <w:sz w:val="28"/>
          <w:szCs w:val="28"/>
        </w:rPr>
        <w:t>ﬁ</w:t>
      </w:r>
      <w:proofErr w:type="spellStart"/>
      <w:r w:rsidRPr="003144AD">
        <w:rPr>
          <w:color w:val="000000"/>
          <w:sz w:val="28"/>
          <w:szCs w:val="28"/>
          <w:lang w:val="en-US"/>
        </w:rPr>
        <w:t>cacy</w:t>
      </w:r>
      <w:proofErr w:type="spellEnd"/>
      <w:r w:rsidRPr="003144AD">
        <w:rPr>
          <w:color w:val="000000"/>
          <w:sz w:val="28"/>
          <w:szCs w:val="28"/>
          <w:lang w:val="en-US"/>
        </w:rPr>
        <w:t xml:space="preserve"> comparison between </w:t>
      </w:r>
      <w:proofErr w:type="spellStart"/>
      <w:r w:rsidRPr="003144AD">
        <w:rPr>
          <w:color w:val="000000"/>
          <w:sz w:val="28"/>
          <w:szCs w:val="28"/>
          <w:lang w:val="en-US"/>
        </w:rPr>
        <w:t>bicyclol</w:t>
      </w:r>
      <w:proofErr w:type="spellEnd"/>
      <w:r w:rsidRPr="003144AD">
        <w:rPr>
          <w:color w:val="000000"/>
          <w:sz w:val="28"/>
          <w:szCs w:val="28"/>
          <w:lang w:val="en-US"/>
        </w:rPr>
        <w:t xml:space="preserve"> and polyene phosphatidylcholine treatments for the patients with nonalcoholic fatty liver disease. Chin J </w:t>
      </w:r>
      <w:proofErr w:type="spellStart"/>
      <w:r w:rsidRPr="003144AD">
        <w:rPr>
          <w:color w:val="000000"/>
          <w:sz w:val="28"/>
          <w:szCs w:val="28"/>
          <w:lang w:val="en-US"/>
        </w:rPr>
        <w:t>Hepatol</w:t>
      </w:r>
      <w:proofErr w:type="spellEnd"/>
      <w:r w:rsidRPr="003144AD">
        <w:rPr>
          <w:color w:val="000000"/>
          <w:sz w:val="28"/>
          <w:szCs w:val="28"/>
          <w:lang w:val="en-US"/>
        </w:rPr>
        <w:t>.</w:t>
      </w:r>
      <w:r w:rsidRPr="003144AD">
        <w:rPr>
          <w:rStyle w:val="apple-converted-space"/>
          <w:color w:val="000000"/>
          <w:sz w:val="28"/>
          <w:szCs w:val="28"/>
          <w:lang w:val="en-US"/>
        </w:rPr>
        <w:t> </w:t>
      </w:r>
      <w:r w:rsidRPr="003144AD">
        <w:rPr>
          <w:color w:val="000000"/>
          <w:sz w:val="28"/>
          <w:szCs w:val="28"/>
          <w:lang w:val="en-US"/>
        </w:rPr>
        <w:t>2011</w:t>
      </w:r>
      <w:proofErr w:type="gramStart"/>
      <w:r w:rsidRPr="003144AD">
        <w:rPr>
          <w:color w:val="000000"/>
          <w:sz w:val="28"/>
          <w:szCs w:val="28"/>
          <w:lang w:val="en-US"/>
        </w:rPr>
        <w:t>;19</w:t>
      </w:r>
      <w:proofErr w:type="gramEnd"/>
      <w:r w:rsidRPr="003144AD">
        <w:rPr>
          <w:color w:val="000000"/>
          <w:sz w:val="28"/>
          <w:szCs w:val="28"/>
          <w:lang w:val="en-US"/>
        </w:rPr>
        <w:t>(7):552–3.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Sulkowski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MS, Gardiner DF, Rodriguez-Torres M, Reddy KR,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Hassanein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T, Jacobson I, et al.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Daclatasvir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plus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sofosbuvir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for previously treated or untreated chronic HCV infection. N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Engl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J Med 2014</w:t>
      </w:r>
      <w:proofErr w:type="gramStart"/>
      <w:r w:rsidRPr="003144AD">
        <w:rPr>
          <w:rFonts w:ascii="Times New Roman" w:hAnsi="Times New Roman"/>
          <w:sz w:val="28"/>
          <w:szCs w:val="28"/>
          <w:lang w:val="en-US"/>
        </w:rPr>
        <w:t>;370:211</w:t>
      </w:r>
      <w:proofErr w:type="gramEnd"/>
      <w:r w:rsidRPr="003144AD">
        <w:rPr>
          <w:rFonts w:ascii="Times New Roman" w:hAnsi="Times New Roman"/>
          <w:sz w:val="28"/>
          <w:szCs w:val="28"/>
          <w:lang w:val="en-US"/>
        </w:rPr>
        <w:t>–221.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 xml:space="preserve">Wang H, Li Y. Protective effect of </w:t>
      </w:r>
      <w:proofErr w:type="spellStart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>bicyclol</w:t>
      </w:r>
      <w:proofErr w:type="spellEnd"/>
      <w:r w:rsidRPr="003144AD">
        <w:rPr>
          <w:rStyle w:val="ft30"/>
          <w:rFonts w:ascii="Times New Roman" w:hAnsi="Times New Roman"/>
          <w:color w:val="000000"/>
          <w:sz w:val="28"/>
          <w:szCs w:val="28"/>
          <w:lang w:val="en-US"/>
        </w:rPr>
        <w:t xml:space="preserve"> on acute hepatic failure induced by lipopolysaccharide and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Style w:val="ft35"/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proofErr w:type="spell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galactosamine</w:t>
      </w:r>
      <w:proofErr w:type="spellEnd"/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in mice. </w:t>
      </w:r>
      <w:proofErr w:type="spell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Eur</w:t>
      </w:r>
      <w:proofErr w:type="spell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 J </w:t>
      </w:r>
      <w:proofErr w:type="spell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Pharmacol</w:t>
      </w:r>
      <w:proofErr w:type="spell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2006</w:t>
      </w:r>
      <w:proofErr w:type="gram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;5</w:t>
      </w:r>
      <w:proofErr w:type="gram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 34(1–3):194–201.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proofErr w:type="spellStart"/>
      <w:r w:rsidRPr="003144AD">
        <w:rPr>
          <w:rStyle w:val="ft32"/>
          <w:rFonts w:ascii="Times New Roman" w:hAnsi="Times New Roman"/>
          <w:color w:val="000000"/>
          <w:sz w:val="28"/>
          <w:szCs w:val="28"/>
          <w:lang w:val="en-US"/>
        </w:rPr>
        <w:t>Xie</w:t>
      </w:r>
      <w:proofErr w:type="spellEnd"/>
      <w:r w:rsidRPr="003144AD">
        <w:rPr>
          <w:rStyle w:val="ft32"/>
          <w:rFonts w:ascii="Times New Roman" w:hAnsi="Times New Roman"/>
          <w:color w:val="000000"/>
          <w:sz w:val="28"/>
          <w:szCs w:val="28"/>
          <w:lang w:val="en-US"/>
        </w:rPr>
        <w:t xml:space="preserve"> W, Shi G, Zhang H, Zhao G, Yu Z, Lang Z, et al. A ran- </w:t>
      </w:r>
      <w:proofErr w:type="spellStart"/>
      <w:r w:rsidRPr="003144AD">
        <w:rPr>
          <w:rStyle w:val="ft32"/>
          <w:rFonts w:ascii="Times New Roman" w:hAnsi="Times New Roman"/>
          <w:color w:val="000000"/>
          <w:sz w:val="28"/>
          <w:szCs w:val="28"/>
          <w:lang w:val="en-US"/>
        </w:rPr>
        <w:t>domized</w:t>
      </w:r>
      <w:proofErr w:type="spellEnd"/>
      <w:r w:rsidRPr="003144AD">
        <w:rPr>
          <w:rStyle w:val="ft32"/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multi-central,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controlled study of patients with hepatitis B e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antigen-positive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chronic hepatitis B treated by </w:t>
      </w:r>
      <w:proofErr w:type="spell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adefovir</w:t>
      </w:r>
      <w:proofErr w:type="spell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 dip- </w:t>
      </w:r>
      <w:proofErr w:type="spell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ivoxil</w:t>
      </w:r>
      <w:proofErr w:type="spell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 or </w:t>
      </w:r>
      <w:proofErr w:type="spell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adefovir</w:t>
      </w:r>
      <w:proofErr w:type="spell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dipivoxil</w:t>
      </w:r>
      <w:proofErr w:type="spell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 plus </w:t>
      </w:r>
      <w:proofErr w:type="spell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bicyclol</w:t>
      </w:r>
      <w:proofErr w:type="spell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Hepatol</w:t>
      </w:r>
      <w:proofErr w:type="spell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 Int. 2012</w:t>
      </w:r>
      <w:proofErr w:type="gram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;6</w:t>
      </w:r>
      <w:proofErr w:type="gram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(2):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441–8.</w:t>
      </w:r>
    </w:p>
    <w:p w:rsidR="003144AD" w:rsidRPr="003144AD" w:rsidRDefault="003144AD" w:rsidP="003144A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Zeuzem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S,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Andreone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P, Pol S,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Lawitz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E,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Diago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M, Roberts S, et al.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Telaprevir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for retreatment of HCV infection. N </w:t>
      </w:r>
      <w:proofErr w:type="spellStart"/>
      <w:r w:rsidRPr="003144AD">
        <w:rPr>
          <w:rFonts w:ascii="Times New Roman" w:hAnsi="Times New Roman"/>
          <w:sz w:val="28"/>
          <w:szCs w:val="28"/>
          <w:lang w:val="en-US"/>
        </w:rPr>
        <w:t>Engl</w:t>
      </w:r>
      <w:proofErr w:type="spellEnd"/>
      <w:r w:rsidRPr="003144AD">
        <w:rPr>
          <w:rFonts w:ascii="Times New Roman" w:hAnsi="Times New Roman"/>
          <w:sz w:val="28"/>
          <w:szCs w:val="28"/>
          <w:lang w:val="en-US"/>
        </w:rPr>
        <w:t xml:space="preserve"> J Med 2011</w:t>
      </w:r>
      <w:proofErr w:type="gramStart"/>
      <w:r w:rsidRPr="003144AD">
        <w:rPr>
          <w:rFonts w:ascii="Times New Roman" w:hAnsi="Times New Roman"/>
          <w:sz w:val="28"/>
          <w:szCs w:val="28"/>
          <w:lang w:val="en-US"/>
        </w:rPr>
        <w:t>;364:2417</w:t>
      </w:r>
      <w:proofErr w:type="gramEnd"/>
      <w:r w:rsidRPr="003144AD">
        <w:rPr>
          <w:rFonts w:ascii="Times New Roman" w:hAnsi="Times New Roman"/>
          <w:sz w:val="28"/>
          <w:szCs w:val="28"/>
          <w:lang w:val="en-US"/>
        </w:rPr>
        <w:t>–2428.</w:t>
      </w:r>
    </w:p>
    <w:p w:rsidR="005C539C" w:rsidRPr="005C539C" w:rsidRDefault="003144AD" w:rsidP="005C539C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3144AD">
        <w:rPr>
          <w:rStyle w:val="ft31"/>
          <w:rFonts w:ascii="Times New Roman" w:hAnsi="Times New Roman"/>
          <w:color w:val="000000"/>
          <w:sz w:val="28"/>
          <w:szCs w:val="28"/>
          <w:lang w:val="en-US"/>
        </w:rPr>
        <w:t xml:space="preserve">Zhao J, Chen H, Li Y. Protective effect of </w:t>
      </w:r>
      <w:proofErr w:type="spellStart"/>
      <w:r w:rsidRPr="003144AD">
        <w:rPr>
          <w:rStyle w:val="ft31"/>
          <w:rFonts w:ascii="Times New Roman" w:hAnsi="Times New Roman"/>
          <w:color w:val="000000"/>
          <w:sz w:val="28"/>
          <w:szCs w:val="28"/>
          <w:lang w:val="en-US"/>
        </w:rPr>
        <w:t>bicyclol</w:t>
      </w:r>
      <w:proofErr w:type="spellEnd"/>
      <w:r w:rsidRPr="003144AD">
        <w:rPr>
          <w:rStyle w:val="ft31"/>
          <w:rFonts w:ascii="Times New Roman" w:hAnsi="Times New Roman"/>
          <w:color w:val="000000"/>
          <w:sz w:val="28"/>
          <w:szCs w:val="28"/>
          <w:lang w:val="en-US"/>
        </w:rPr>
        <w:t xml:space="preserve"> on </w:t>
      </w:r>
      <w:proofErr w:type="spellStart"/>
      <w:r w:rsidRPr="003144AD">
        <w:rPr>
          <w:rStyle w:val="ft31"/>
          <w:rFonts w:ascii="Times New Roman" w:hAnsi="Times New Roman"/>
          <w:color w:val="000000"/>
          <w:sz w:val="28"/>
          <w:szCs w:val="28"/>
          <w:lang w:val="en-US"/>
        </w:rPr>
        <w:t>acute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alcohol</w:t>
      </w:r>
      <w:proofErr w:type="spell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-induced</w:t>
      </w:r>
      <w:r w:rsidRPr="003144AD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liver injury in mice. </w:t>
      </w:r>
      <w:proofErr w:type="spellStart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>Eur</w:t>
      </w:r>
      <w:proofErr w:type="spellEnd"/>
      <w:r w:rsidRPr="003144AD">
        <w:rPr>
          <w:rFonts w:ascii="Times New Roman" w:hAnsi="Times New Roman"/>
          <w:color w:val="000000"/>
          <w:sz w:val="28"/>
          <w:szCs w:val="28"/>
          <w:lang w:val="en-US"/>
        </w:rPr>
        <w:t xml:space="preserve"> J </w:t>
      </w:r>
      <w:proofErr w:type="spellStart"/>
      <w:r w:rsidR="005C539C">
        <w:rPr>
          <w:rFonts w:ascii="Times New Roman" w:hAnsi="Times New Roman"/>
          <w:color w:val="000000"/>
          <w:sz w:val="28"/>
          <w:szCs w:val="28"/>
          <w:lang w:val="en-US"/>
        </w:rPr>
        <w:t>Pharmacol</w:t>
      </w:r>
      <w:proofErr w:type="spellEnd"/>
      <w:r w:rsidR="005C539C">
        <w:rPr>
          <w:rFonts w:ascii="Times New Roman" w:hAnsi="Times New Roman"/>
          <w:color w:val="000000"/>
          <w:sz w:val="28"/>
          <w:szCs w:val="28"/>
          <w:lang w:val="en-US"/>
        </w:rPr>
        <w:t>. 2008</w:t>
      </w:r>
      <w:proofErr w:type="gramStart"/>
      <w:r w:rsidR="005C539C">
        <w:rPr>
          <w:rFonts w:ascii="Times New Roman" w:hAnsi="Times New Roman"/>
          <w:color w:val="000000"/>
          <w:sz w:val="28"/>
          <w:szCs w:val="28"/>
          <w:lang w:val="en-US"/>
        </w:rPr>
        <w:t>;586</w:t>
      </w:r>
      <w:proofErr w:type="gramEnd"/>
      <w:r w:rsidR="005C539C">
        <w:rPr>
          <w:rFonts w:ascii="Times New Roman" w:hAnsi="Times New Roman"/>
          <w:color w:val="000000"/>
          <w:sz w:val="28"/>
          <w:szCs w:val="28"/>
          <w:lang w:val="en-US"/>
        </w:rPr>
        <w:t>(1–3):322–31</w:t>
      </w:r>
      <w:r w:rsidR="005C539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81CAA" w:rsidRPr="003144AD" w:rsidRDefault="00F81CAA" w:rsidP="00F81CAA">
      <w:pPr>
        <w:spacing w:line="480" w:lineRule="auto"/>
        <w:ind w:firstLine="426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F81CAA" w:rsidRPr="003144AD" w:rsidRDefault="00F81CAA" w:rsidP="00F81CAA">
      <w:pPr>
        <w:spacing w:line="480" w:lineRule="auto"/>
        <w:ind w:firstLine="426"/>
        <w:jc w:val="both"/>
        <w:rPr>
          <w:sz w:val="28"/>
          <w:szCs w:val="28"/>
          <w:lang w:val="en-US"/>
        </w:rPr>
      </w:pPr>
    </w:p>
    <w:p w:rsidR="00BF079A" w:rsidRPr="003144AD" w:rsidRDefault="00BF079A" w:rsidP="00F81CA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BF079A" w:rsidRPr="003144AD" w:rsidSect="00BF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117"/>
    <w:multiLevelType w:val="hybridMultilevel"/>
    <w:tmpl w:val="2426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1B"/>
    <w:rsid w:val="00014BD9"/>
    <w:rsid w:val="000350FA"/>
    <w:rsid w:val="000D02AD"/>
    <w:rsid w:val="000D6255"/>
    <w:rsid w:val="001648FF"/>
    <w:rsid w:val="001A1D9B"/>
    <w:rsid w:val="001D058E"/>
    <w:rsid w:val="0020081B"/>
    <w:rsid w:val="00202AC3"/>
    <w:rsid w:val="00223F3E"/>
    <w:rsid w:val="002A5E84"/>
    <w:rsid w:val="002E715A"/>
    <w:rsid w:val="003144AD"/>
    <w:rsid w:val="003146B5"/>
    <w:rsid w:val="00320EA1"/>
    <w:rsid w:val="00320FDF"/>
    <w:rsid w:val="00357BE2"/>
    <w:rsid w:val="003C26D5"/>
    <w:rsid w:val="003E1B41"/>
    <w:rsid w:val="003E66AA"/>
    <w:rsid w:val="0046733D"/>
    <w:rsid w:val="004856E3"/>
    <w:rsid w:val="004C01A6"/>
    <w:rsid w:val="005A7D3F"/>
    <w:rsid w:val="005C539C"/>
    <w:rsid w:val="00637BD2"/>
    <w:rsid w:val="00672A3B"/>
    <w:rsid w:val="006867F5"/>
    <w:rsid w:val="006C482B"/>
    <w:rsid w:val="006D60AA"/>
    <w:rsid w:val="00732B5E"/>
    <w:rsid w:val="007F6E8B"/>
    <w:rsid w:val="00813EEC"/>
    <w:rsid w:val="008409C8"/>
    <w:rsid w:val="00857EE7"/>
    <w:rsid w:val="008E4AD8"/>
    <w:rsid w:val="00904BD4"/>
    <w:rsid w:val="00A55A1D"/>
    <w:rsid w:val="00A824EF"/>
    <w:rsid w:val="00AA62ED"/>
    <w:rsid w:val="00AF292C"/>
    <w:rsid w:val="00B52AD1"/>
    <w:rsid w:val="00B55E01"/>
    <w:rsid w:val="00BF079A"/>
    <w:rsid w:val="00C364F6"/>
    <w:rsid w:val="00D01293"/>
    <w:rsid w:val="00D06742"/>
    <w:rsid w:val="00D6537F"/>
    <w:rsid w:val="00D9679A"/>
    <w:rsid w:val="00E03A72"/>
    <w:rsid w:val="00E549B9"/>
    <w:rsid w:val="00E638DB"/>
    <w:rsid w:val="00EE27AE"/>
    <w:rsid w:val="00F35FE3"/>
    <w:rsid w:val="00F8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79A"/>
    <w:pPr>
      <w:keepNext/>
      <w:ind w:right="895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79A"/>
    <w:rPr>
      <w:rFonts w:eastAsia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D6255"/>
  </w:style>
  <w:style w:type="character" w:customStyle="1" w:styleId="ft18">
    <w:name w:val="ft18"/>
    <w:basedOn w:val="a0"/>
    <w:rsid w:val="000D6255"/>
  </w:style>
  <w:style w:type="paragraph" w:customStyle="1" w:styleId="p86">
    <w:name w:val="p86"/>
    <w:basedOn w:val="a"/>
    <w:rsid w:val="000D6255"/>
    <w:pPr>
      <w:spacing w:before="100" w:beforeAutospacing="1" w:after="100" w:afterAutospacing="1"/>
    </w:pPr>
  </w:style>
  <w:style w:type="paragraph" w:customStyle="1" w:styleId="p39">
    <w:name w:val="p39"/>
    <w:basedOn w:val="a"/>
    <w:rsid w:val="000D6255"/>
    <w:pPr>
      <w:spacing w:before="100" w:beforeAutospacing="1" w:after="100" w:afterAutospacing="1"/>
    </w:pPr>
  </w:style>
  <w:style w:type="character" w:customStyle="1" w:styleId="ft7">
    <w:name w:val="ft7"/>
    <w:basedOn w:val="a0"/>
    <w:rsid w:val="000D6255"/>
  </w:style>
  <w:style w:type="character" w:customStyle="1" w:styleId="ft8">
    <w:name w:val="ft8"/>
    <w:basedOn w:val="a0"/>
    <w:rsid w:val="000D6255"/>
  </w:style>
  <w:style w:type="character" w:styleId="a3">
    <w:name w:val="endnote reference"/>
    <w:basedOn w:val="a0"/>
    <w:uiPriority w:val="99"/>
    <w:semiHidden/>
    <w:unhideWhenUsed/>
    <w:rsid w:val="00F81CAA"/>
    <w:rPr>
      <w:vertAlign w:val="superscript"/>
    </w:rPr>
  </w:style>
  <w:style w:type="character" w:styleId="a4">
    <w:name w:val="Strong"/>
    <w:basedOn w:val="a0"/>
    <w:uiPriority w:val="22"/>
    <w:qFormat/>
    <w:rsid w:val="003E66AA"/>
    <w:rPr>
      <w:b/>
      <w:bCs/>
    </w:rPr>
  </w:style>
  <w:style w:type="character" w:customStyle="1" w:styleId="ft30">
    <w:name w:val="ft30"/>
    <w:basedOn w:val="a0"/>
    <w:rsid w:val="000D02AD"/>
  </w:style>
  <w:style w:type="character" w:customStyle="1" w:styleId="ft31">
    <w:name w:val="ft31"/>
    <w:basedOn w:val="a0"/>
    <w:rsid w:val="00E549B9"/>
  </w:style>
  <w:style w:type="character" w:customStyle="1" w:styleId="ft32">
    <w:name w:val="ft32"/>
    <w:basedOn w:val="a0"/>
    <w:rsid w:val="00E549B9"/>
  </w:style>
  <w:style w:type="paragraph" w:styleId="3">
    <w:name w:val="Body Text Indent 3"/>
    <w:basedOn w:val="a"/>
    <w:link w:val="30"/>
    <w:unhideWhenUsed/>
    <w:rsid w:val="0046733D"/>
    <w:pPr>
      <w:autoSpaceDE w:val="0"/>
      <w:autoSpaceDN w:val="0"/>
      <w:ind w:firstLine="539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46733D"/>
    <w:rPr>
      <w:rFonts w:eastAsia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6733D"/>
    <w:pPr>
      <w:ind w:left="720"/>
      <w:contextualSpacing/>
    </w:pPr>
    <w:rPr>
      <w:rFonts w:ascii="Arial" w:hAnsi="Arial"/>
      <w:sz w:val="20"/>
      <w:szCs w:val="20"/>
      <w:lang w:val="en-GB" w:eastAsia="en-US"/>
    </w:rPr>
  </w:style>
  <w:style w:type="paragraph" w:styleId="a6">
    <w:name w:val="Normal (Web)"/>
    <w:basedOn w:val="a"/>
    <w:uiPriority w:val="99"/>
    <w:semiHidden/>
    <w:unhideWhenUsed/>
    <w:rsid w:val="002E715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57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itation">
    <w:name w:val="citation"/>
    <w:basedOn w:val="a0"/>
    <w:rsid w:val="003144AD"/>
  </w:style>
  <w:style w:type="character" w:customStyle="1" w:styleId="ft35">
    <w:name w:val="ft35"/>
    <w:basedOn w:val="a0"/>
    <w:rsid w:val="003144AD"/>
  </w:style>
  <w:style w:type="paragraph" w:customStyle="1" w:styleId="p92">
    <w:name w:val="p92"/>
    <w:basedOn w:val="a"/>
    <w:rsid w:val="003144AD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5C539C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5C539C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79A"/>
    <w:pPr>
      <w:keepNext/>
      <w:ind w:right="895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79A"/>
    <w:rPr>
      <w:rFonts w:eastAsia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D6255"/>
  </w:style>
  <w:style w:type="character" w:customStyle="1" w:styleId="ft18">
    <w:name w:val="ft18"/>
    <w:basedOn w:val="a0"/>
    <w:rsid w:val="000D6255"/>
  </w:style>
  <w:style w:type="paragraph" w:customStyle="1" w:styleId="p86">
    <w:name w:val="p86"/>
    <w:basedOn w:val="a"/>
    <w:rsid w:val="000D6255"/>
    <w:pPr>
      <w:spacing w:before="100" w:beforeAutospacing="1" w:after="100" w:afterAutospacing="1"/>
    </w:pPr>
  </w:style>
  <w:style w:type="paragraph" w:customStyle="1" w:styleId="p39">
    <w:name w:val="p39"/>
    <w:basedOn w:val="a"/>
    <w:rsid w:val="000D6255"/>
    <w:pPr>
      <w:spacing w:before="100" w:beforeAutospacing="1" w:after="100" w:afterAutospacing="1"/>
    </w:pPr>
  </w:style>
  <w:style w:type="character" w:customStyle="1" w:styleId="ft7">
    <w:name w:val="ft7"/>
    <w:basedOn w:val="a0"/>
    <w:rsid w:val="000D6255"/>
  </w:style>
  <w:style w:type="character" w:customStyle="1" w:styleId="ft8">
    <w:name w:val="ft8"/>
    <w:basedOn w:val="a0"/>
    <w:rsid w:val="000D6255"/>
  </w:style>
  <w:style w:type="character" w:styleId="a3">
    <w:name w:val="endnote reference"/>
    <w:basedOn w:val="a0"/>
    <w:uiPriority w:val="99"/>
    <w:semiHidden/>
    <w:unhideWhenUsed/>
    <w:rsid w:val="00F81CAA"/>
    <w:rPr>
      <w:vertAlign w:val="superscript"/>
    </w:rPr>
  </w:style>
  <w:style w:type="character" w:styleId="a4">
    <w:name w:val="Strong"/>
    <w:basedOn w:val="a0"/>
    <w:uiPriority w:val="22"/>
    <w:qFormat/>
    <w:rsid w:val="003E66AA"/>
    <w:rPr>
      <w:b/>
      <w:bCs/>
    </w:rPr>
  </w:style>
  <w:style w:type="character" w:customStyle="1" w:styleId="ft30">
    <w:name w:val="ft30"/>
    <w:basedOn w:val="a0"/>
    <w:rsid w:val="000D02AD"/>
  </w:style>
  <w:style w:type="character" w:customStyle="1" w:styleId="ft31">
    <w:name w:val="ft31"/>
    <w:basedOn w:val="a0"/>
    <w:rsid w:val="00E549B9"/>
  </w:style>
  <w:style w:type="character" w:customStyle="1" w:styleId="ft32">
    <w:name w:val="ft32"/>
    <w:basedOn w:val="a0"/>
    <w:rsid w:val="00E549B9"/>
  </w:style>
  <w:style w:type="paragraph" w:styleId="3">
    <w:name w:val="Body Text Indent 3"/>
    <w:basedOn w:val="a"/>
    <w:link w:val="30"/>
    <w:unhideWhenUsed/>
    <w:rsid w:val="0046733D"/>
    <w:pPr>
      <w:autoSpaceDE w:val="0"/>
      <w:autoSpaceDN w:val="0"/>
      <w:ind w:firstLine="539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46733D"/>
    <w:rPr>
      <w:rFonts w:eastAsia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6733D"/>
    <w:pPr>
      <w:ind w:left="720"/>
      <w:contextualSpacing/>
    </w:pPr>
    <w:rPr>
      <w:rFonts w:ascii="Arial" w:hAnsi="Arial"/>
      <w:sz w:val="20"/>
      <w:szCs w:val="20"/>
      <w:lang w:val="en-GB" w:eastAsia="en-US"/>
    </w:rPr>
  </w:style>
  <w:style w:type="paragraph" w:styleId="a6">
    <w:name w:val="Normal (Web)"/>
    <w:basedOn w:val="a"/>
    <w:uiPriority w:val="99"/>
    <w:semiHidden/>
    <w:unhideWhenUsed/>
    <w:rsid w:val="002E715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57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itation">
    <w:name w:val="citation"/>
    <w:basedOn w:val="a0"/>
    <w:rsid w:val="003144AD"/>
  </w:style>
  <w:style w:type="character" w:customStyle="1" w:styleId="ft35">
    <w:name w:val="ft35"/>
    <w:basedOn w:val="a0"/>
    <w:rsid w:val="003144AD"/>
  </w:style>
  <w:style w:type="paragraph" w:customStyle="1" w:styleId="p92">
    <w:name w:val="p92"/>
    <w:basedOn w:val="a"/>
    <w:rsid w:val="003144AD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5C539C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5C539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9071-778C-4040-AFD8-7AE9EE83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Лилит</cp:lastModifiedBy>
  <cp:revision>9</cp:revision>
  <dcterms:created xsi:type="dcterms:W3CDTF">2015-10-18T13:03:00Z</dcterms:created>
  <dcterms:modified xsi:type="dcterms:W3CDTF">2015-10-18T13:48:00Z</dcterms:modified>
</cp:coreProperties>
</file>